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201B2" w14:textId="22D17EB4" w:rsidR="00CC1071" w:rsidRPr="00017296" w:rsidRDefault="00CC1071" w:rsidP="00CC1071">
      <w:pPr>
        <w:autoSpaceDE w:val="0"/>
        <w:autoSpaceDN w:val="0"/>
        <w:jc w:val="center"/>
        <w:rPr>
          <w:b/>
          <w:lang w:val="kk-KZ"/>
        </w:rPr>
      </w:pPr>
      <w:proofErr w:type="spellStart"/>
      <w:r w:rsidRPr="00833E3A">
        <w:rPr>
          <w:b/>
        </w:rPr>
        <w:t>Денсаулық</w:t>
      </w:r>
      <w:proofErr w:type="spellEnd"/>
      <w:r w:rsidRPr="00833E3A">
        <w:rPr>
          <w:b/>
        </w:rPr>
        <w:t xml:space="preserve"> </w:t>
      </w:r>
      <w:proofErr w:type="spellStart"/>
      <w:r w:rsidRPr="00833E3A">
        <w:rPr>
          <w:b/>
        </w:rPr>
        <w:t>сақтау</w:t>
      </w:r>
      <w:proofErr w:type="spellEnd"/>
      <w:r w:rsidRPr="00833E3A">
        <w:rPr>
          <w:b/>
        </w:rPr>
        <w:t xml:space="preserve"> </w:t>
      </w:r>
      <w:proofErr w:type="spellStart"/>
      <w:r w:rsidRPr="00833E3A">
        <w:rPr>
          <w:b/>
        </w:rPr>
        <w:t>мамандарына</w:t>
      </w:r>
      <w:proofErr w:type="spellEnd"/>
      <w:r w:rsidRPr="00833E3A">
        <w:rPr>
          <w:b/>
        </w:rPr>
        <w:t xml:space="preserve"> </w:t>
      </w:r>
      <w:proofErr w:type="spellStart"/>
      <w:r w:rsidRPr="00833E3A">
        <w:rPr>
          <w:b/>
        </w:rPr>
        <w:t>тікелей</w:t>
      </w:r>
      <w:proofErr w:type="spellEnd"/>
      <w:r w:rsidRPr="00833E3A">
        <w:rPr>
          <w:b/>
        </w:rPr>
        <w:t xml:space="preserve"> </w:t>
      </w:r>
      <w:r w:rsidRPr="00833E3A">
        <w:rPr>
          <w:b/>
          <w:lang w:val="kk-KZ"/>
        </w:rPr>
        <w:t>үндеу</w:t>
      </w:r>
    </w:p>
    <w:p w14:paraId="0797CB15" w14:textId="77777777" w:rsidR="00CC1071" w:rsidRPr="00017296" w:rsidRDefault="00CC1071" w:rsidP="00CC1071">
      <w:pPr>
        <w:autoSpaceDE w:val="0"/>
        <w:autoSpaceDN w:val="0"/>
        <w:jc w:val="center"/>
        <w:rPr>
          <w:b/>
          <w:lang w:val="kk-KZ"/>
        </w:rPr>
      </w:pPr>
    </w:p>
    <w:p w14:paraId="655687B2" w14:textId="77777777" w:rsidR="00CC1071" w:rsidRPr="00017296" w:rsidRDefault="00CC1071" w:rsidP="00CC1071">
      <w:pPr>
        <w:autoSpaceDE w:val="0"/>
        <w:autoSpaceDN w:val="0"/>
        <w:rPr>
          <w:b/>
          <w:lang w:val="kk-KZ"/>
        </w:rPr>
      </w:pPr>
      <w:r w:rsidRPr="00017296">
        <w:rPr>
          <w:lang w:val="kk-KZ"/>
        </w:rPr>
        <w:t>&lt;Дата&gt;</w:t>
      </w:r>
    </w:p>
    <w:p w14:paraId="02065306" w14:textId="77777777" w:rsidR="00CC1071" w:rsidRPr="00017296" w:rsidRDefault="00CC1071" w:rsidP="00CC10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bCs/>
          <w:lang w:val="kk-KZ" w:eastAsia="en-US"/>
        </w:rPr>
      </w:pPr>
      <w:r w:rsidRPr="00017296">
        <w:rPr>
          <w:b/>
          <w:lang w:val="kk-KZ"/>
        </w:rPr>
        <w:t xml:space="preserve">Ритуксимаб, инфузия үшін ерітінді дайындауға арналған концентрат, 10 мг/мл, </w:t>
      </w:r>
      <w:r w:rsidRPr="00017296">
        <w:rPr>
          <w:b/>
          <w:bCs/>
          <w:lang w:val="kk-KZ"/>
        </w:rPr>
        <w:t>құты 10 мл № 2 және 10 мг/мл, құты 50 мл № 1 препараты бойынша денсаулық сақтау мамандарына тікелей үндеу</w:t>
      </w:r>
    </w:p>
    <w:p w14:paraId="47ABAFB9" w14:textId="0C82C9B8" w:rsidR="00CC1071" w:rsidRPr="00DF28E0" w:rsidRDefault="00DF28E0" w:rsidP="00DF28E0">
      <w:pPr>
        <w:pStyle w:val="a3"/>
        <w:ind w:firstLine="0"/>
        <w:contextualSpacing/>
        <w:rPr>
          <w:b/>
          <w:bCs/>
          <w:szCs w:val="24"/>
          <w:lang w:val="kk-KZ"/>
        </w:rPr>
      </w:pPr>
      <w:r w:rsidRPr="00DF28E0">
        <w:rPr>
          <w:b/>
          <w:bCs/>
          <w:szCs w:val="24"/>
          <w:lang w:val="kk-KZ"/>
        </w:rPr>
        <w:t xml:space="preserve">Дозалау бойынша </w:t>
      </w:r>
      <w:r w:rsidRPr="00DF28E0">
        <w:rPr>
          <w:b/>
          <w:bCs/>
          <w:lang w:val="kk-KZ"/>
        </w:rPr>
        <w:t>ұ</w:t>
      </w:r>
      <w:r w:rsidRPr="00DF28E0">
        <w:rPr>
          <w:b/>
          <w:bCs/>
          <w:lang w:val="kk-KZ"/>
        </w:rPr>
        <w:t>сыныстар</w:t>
      </w:r>
      <w:r>
        <w:rPr>
          <w:b/>
          <w:bCs/>
          <w:lang w:val="kk-KZ"/>
        </w:rPr>
        <w:t>.</w:t>
      </w:r>
    </w:p>
    <w:p w14:paraId="20811BEF" w14:textId="2AF43510" w:rsidR="00CC1071" w:rsidRPr="00017296" w:rsidRDefault="00CC1071" w:rsidP="00CC1071">
      <w:pPr>
        <w:tabs>
          <w:tab w:val="left" w:pos="8931"/>
        </w:tabs>
        <w:jc w:val="both"/>
        <w:rPr>
          <w:lang w:val="kk-KZ"/>
        </w:rPr>
      </w:pPr>
      <w:r w:rsidRPr="00017296">
        <w:rPr>
          <w:lang w:val="kk-KZ"/>
        </w:rPr>
        <w:t>25.07.2019</w:t>
      </w:r>
      <w:r w:rsidR="00DF28E0">
        <w:rPr>
          <w:lang w:val="kk-KZ"/>
        </w:rPr>
        <w:t xml:space="preserve"> </w:t>
      </w:r>
      <w:r w:rsidRPr="00017296">
        <w:rPr>
          <w:lang w:val="kk-KZ"/>
        </w:rPr>
        <w:t xml:space="preserve">ж. бекітілген Ритуксимаб дәрілік препаратын медициналық қолдану жөніндегі нұсқаулыққа (МҚН) сәйкес Денсаулық сақтау мамандарына (ДМТҮ) тікелей үндеу дайындалды. Денсаулық сақтау жүйесінің қызметкерлеріне дозалау жөніндегі ұсынымдарға ерекше назар аудара отырып, ДМТҮ және МҚН деректерімен мұқият танысу ұсынылады. </w:t>
      </w:r>
    </w:p>
    <w:p w14:paraId="1419747F" w14:textId="77777777" w:rsidR="00CC1071" w:rsidRPr="00017296" w:rsidRDefault="00CC1071" w:rsidP="00CC1071">
      <w:pPr>
        <w:tabs>
          <w:tab w:val="left" w:pos="8931"/>
        </w:tabs>
        <w:jc w:val="both"/>
        <w:rPr>
          <w:lang w:val="kk-KZ"/>
        </w:rPr>
      </w:pPr>
      <w:r w:rsidRPr="00017296">
        <w:rPr>
          <w:lang w:val="kk-KZ"/>
        </w:rPr>
        <w:t>Төменде ең маңызды ақпараттың қысқаша мазмұны берілген.</w:t>
      </w:r>
    </w:p>
    <w:p w14:paraId="2F96E95B" w14:textId="43E7DE61" w:rsidR="00CC1071" w:rsidRDefault="00CC1071" w:rsidP="00CC1071">
      <w:pPr>
        <w:tabs>
          <w:tab w:val="left" w:pos="8931"/>
        </w:tabs>
        <w:jc w:val="both"/>
        <w:rPr>
          <w:rFonts w:eastAsia="Calibri"/>
          <w:lang w:val="kk-KZ" w:eastAsia="en-US"/>
        </w:rPr>
      </w:pPr>
    </w:p>
    <w:p w14:paraId="28B61E46" w14:textId="4F6AB314" w:rsidR="009B6397" w:rsidRPr="00D83480" w:rsidRDefault="009B6397" w:rsidP="009B6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kk-KZ" w:eastAsia="en-US"/>
        </w:rPr>
      </w:pPr>
      <w:r w:rsidRPr="00D83480">
        <w:rPr>
          <w:b/>
          <w:lang w:val="kk-KZ"/>
        </w:rPr>
        <w:t>Ерітіндіні дайындау және сақтау ережелері:</w:t>
      </w:r>
      <w:r w:rsidRPr="00D83480">
        <w:rPr>
          <w:b/>
          <w:lang w:val="kk-KZ"/>
        </w:rPr>
        <w:t xml:space="preserve"> </w:t>
      </w:r>
    </w:p>
    <w:p w14:paraId="6DB42391" w14:textId="77777777" w:rsidR="009B6397" w:rsidRPr="00017296" w:rsidRDefault="009B6397" w:rsidP="009B6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D83480">
        <w:rPr>
          <w:lang w:val="kk-KZ"/>
        </w:rPr>
        <w:t>Ритуксимаб препаратының қажетті мөлшерін асептикалық жағдайларда алады және  инфузиялық құтыда (пакетте) инфузияға арналған 0,9% натрий хлориді ерітіндісімен немесе 5% декстроза ерітіндісімен есептелген концентрацияға (1-4 мг/мл) дейін сұйылтады (ерітінділер стерильді және апирогенді болы тиіс). Араластыру үшін  көбіктенуіне жол бермей құтыны (пакетті) абайлап</w:t>
      </w:r>
      <w:r w:rsidRPr="00017296">
        <w:rPr>
          <w:lang w:val="kk-KZ"/>
        </w:rPr>
        <w:t xml:space="preserve"> төңкереді. Енгізер алдында ерітіндіде бөгде қосындылардың жоқтығын және түсінің өзгермегенін қарап тексереді.</w:t>
      </w:r>
    </w:p>
    <w:p w14:paraId="32C55E19" w14:textId="77777777" w:rsidR="009B6397" w:rsidRPr="00017296" w:rsidRDefault="009B6397" w:rsidP="009B6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lang w:val="kk-KZ"/>
        </w:rPr>
      </w:pPr>
      <w:r w:rsidRPr="00017296">
        <w:rPr>
          <w:i/>
          <w:lang w:val="kk-KZ"/>
        </w:rPr>
        <w:t>Дәрігер ерітіндінің  дайындалуына, дайын ерітіндінің пайдаланғанға дейінгі сақтау мерзімі мен шарттарына жауап береді.</w:t>
      </w:r>
    </w:p>
    <w:p w14:paraId="58B7B8A0" w14:textId="77777777" w:rsidR="009B6397" w:rsidRPr="00017296" w:rsidRDefault="009B6397" w:rsidP="009B6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017296">
        <w:rPr>
          <w:lang w:val="kk-KZ"/>
        </w:rPr>
        <w:t xml:space="preserve">Ритуксимаб препаратының құрамында консерванттар жоқ болғандықтан, дайындалған ерітіндіні  дереу пайдалану қажет.  </w:t>
      </w:r>
    </w:p>
    <w:p w14:paraId="1B32C046" w14:textId="77777777" w:rsidR="009B6397" w:rsidRPr="00017296" w:rsidRDefault="009B6397" w:rsidP="009B63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017296">
        <w:rPr>
          <w:lang w:val="kk-KZ"/>
        </w:rPr>
        <w:t>Дайындалған  инфузиялық ерітінді бөлме температурасында 12 сағат бойы немесе 2-ден 8° С-ге дейінгі температурада 24 сағатқа дейін физикалық және химиялық тұрғыда тұрақты.</w:t>
      </w:r>
    </w:p>
    <w:p w14:paraId="0506F15C" w14:textId="77777777" w:rsidR="009B6397" w:rsidRPr="00017296" w:rsidRDefault="009B6397" w:rsidP="009B6397">
      <w:pPr>
        <w:jc w:val="both"/>
        <w:rPr>
          <w:b/>
          <w:lang w:val="kk-KZ"/>
        </w:rPr>
      </w:pPr>
    </w:p>
    <w:p w14:paraId="7666052D" w14:textId="77777777" w:rsidR="009B6397" w:rsidRPr="00017296" w:rsidRDefault="009B6397" w:rsidP="009B6397">
      <w:pPr>
        <w:jc w:val="center"/>
        <w:rPr>
          <w:b/>
          <w:lang w:val="kk-KZ"/>
        </w:rPr>
      </w:pPr>
      <w:r w:rsidRPr="00017296">
        <w:rPr>
          <w:b/>
          <w:lang w:val="kk-KZ"/>
        </w:rPr>
        <w:t>Қолдану тәсілі</w:t>
      </w:r>
    </w:p>
    <w:p w14:paraId="42E17660" w14:textId="77777777" w:rsidR="009B6397" w:rsidRPr="00017296" w:rsidRDefault="009B6397" w:rsidP="009B6397">
      <w:pPr>
        <w:jc w:val="both"/>
        <w:rPr>
          <w:rFonts w:eastAsia="Calibri"/>
          <w:i/>
          <w:lang w:val="kk-KZ" w:eastAsia="en-US"/>
        </w:rPr>
      </w:pPr>
      <w:bookmarkStart w:id="0" w:name="2175220274"/>
      <w:bookmarkEnd w:id="0"/>
      <w:r w:rsidRPr="00017296">
        <w:rPr>
          <w:i/>
          <w:lang w:val="kk-KZ"/>
        </w:rPr>
        <w:t>Ритуксимаб препаратының дайындалған ерітіндісін вена ішіне тамшылатып, жеке катетер арқылы енгізеді. Препаратты вена ішіне сорғалатып немесе болюстік түрде енгізуге болмайды.</w:t>
      </w:r>
    </w:p>
    <w:p w14:paraId="5E87116C" w14:textId="77777777" w:rsidR="009B6397" w:rsidRPr="00017296" w:rsidRDefault="009B6397" w:rsidP="009B6397">
      <w:pPr>
        <w:jc w:val="both"/>
        <w:rPr>
          <w:lang w:val="kk-KZ"/>
        </w:rPr>
      </w:pPr>
      <w:r w:rsidRPr="00017296">
        <w:rPr>
          <w:lang w:val="kk-KZ"/>
        </w:rPr>
        <w:t xml:space="preserve">Цитокиндердің босап шығу синдромының пайда болу мүмкіндігін анықтау үшін пациенттер бақылауда болуы тиіс. </w:t>
      </w:r>
    </w:p>
    <w:p w14:paraId="7EB4402F" w14:textId="77777777" w:rsidR="009B6397" w:rsidRPr="00017296" w:rsidRDefault="009B6397" w:rsidP="009B6397">
      <w:pPr>
        <w:jc w:val="both"/>
        <w:rPr>
          <w:bCs/>
          <w:lang w:val="kk-KZ"/>
        </w:rPr>
      </w:pPr>
      <w:r w:rsidRPr="00017296">
        <w:rPr>
          <w:lang w:val="kk-KZ"/>
        </w:rPr>
        <w:t xml:space="preserve">Пациенттерде ауыр реакциялар пайда болған жағдайда (тыныс алудың қиындауы, бронх түйілуі, гипоксия) инфузияны дереу тоқтату керек. </w:t>
      </w:r>
      <w:r w:rsidRPr="00017296">
        <w:rPr>
          <w:bCs/>
          <w:lang w:val="kk-KZ"/>
        </w:rPr>
        <w:t xml:space="preserve">Ходжкиндік  емес лимфомасы бар пациенттер  тиісті зертханалық талдауларды, сондай-ақ өкпедегі инфильтрациялық өзгерістерді анықтау үшін кеуде қуысына рентгенография жүргізуді  қоса, ісік лизисі синдромын анықтау үшін тексерілуі керек. Барлық симптомдар басылғанша, зертханалық талдаулардың нәтижелері және кеуде қуысына рентгенография кезінде анықталған өзерістер қалпына келгенше емдеу қайта жаңғыртылмауы керек. Осы шарттар сақталған жағдайда емдеуді жаңғыртуға болады, бірақ  препараттың бірінші дозасының инфузия жылдамдығы кем дегенде 2 есеге азайтылуы тиіс. Ауыр жағымсыз реакциялар қайта пайда болған жағдайда  нақты жағдайдың ерекшелігін ескере отырып, емдеуді жалғастырудың мақсатқа сай болу мәселесін қарстыру керек. </w:t>
      </w:r>
    </w:p>
    <w:p w14:paraId="640F571D" w14:textId="77777777" w:rsidR="009B6397" w:rsidRPr="00017296" w:rsidRDefault="009B6397" w:rsidP="009B6397">
      <w:pPr>
        <w:jc w:val="both"/>
        <w:rPr>
          <w:b/>
          <w:lang w:val="kk-KZ"/>
        </w:rPr>
      </w:pPr>
      <w:r w:rsidRPr="00017296">
        <w:rPr>
          <w:bCs/>
          <w:lang w:val="kk-KZ"/>
        </w:rPr>
        <w:t>Жеңіл және орташа инфузиялық реакциялар пайда болғанда  көп жағдайларда препаратты енгізу жылдамдығын азайту жеткілікті. Пациенттің жай-күйі жақсарса  препаратты енгізу жылдамдығын арттыруға болады.</w:t>
      </w:r>
    </w:p>
    <w:p w14:paraId="3B8DE01B" w14:textId="77777777" w:rsidR="009B6397" w:rsidRPr="00017296" w:rsidRDefault="009B6397" w:rsidP="009B6397">
      <w:pPr>
        <w:jc w:val="both"/>
        <w:rPr>
          <w:u w:val="single"/>
          <w:lang w:val="kk-KZ"/>
        </w:rPr>
      </w:pPr>
    </w:p>
    <w:p w14:paraId="4CDB4D37" w14:textId="77777777" w:rsidR="009B6397" w:rsidRPr="00017296" w:rsidRDefault="009B6397" w:rsidP="009B6397">
      <w:pPr>
        <w:jc w:val="both"/>
        <w:rPr>
          <w:u w:val="single"/>
          <w:lang w:val="kk-KZ"/>
        </w:rPr>
      </w:pPr>
      <w:r w:rsidRPr="00017296">
        <w:rPr>
          <w:u w:val="single"/>
          <w:lang w:val="kk-KZ"/>
        </w:rPr>
        <w:t>Бірінші инфузия</w:t>
      </w:r>
    </w:p>
    <w:p w14:paraId="142E15EB" w14:textId="77777777" w:rsidR="009B6397" w:rsidRPr="00017296" w:rsidRDefault="009B6397" w:rsidP="009B6397">
      <w:pPr>
        <w:jc w:val="both"/>
        <w:rPr>
          <w:lang w:val="kk-KZ"/>
        </w:rPr>
      </w:pPr>
      <w:r w:rsidRPr="00017296">
        <w:rPr>
          <w:lang w:val="kk-KZ"/>
        </w:rPr>
        <w:lastRenderedPageBreak/>
        <w:t>Препараттың бірінші инфузиясының ұсынылатын жылдамдығы: 50 мг/сағ; алғашқы 30 минут өткен соң, жылдамдықты әр 30 минут сайын ең жоғарғы 400 мг/сағ  дейін 50 мг/сағаттан арттыруға болады.</w:t>
      </w:r>
    </w:p>
    <w:p w14:paraId="470B912B" w14:textId="77777777" w:rsidR="009B6397" w:rsidRPr="00017296" w:rsidRDefault="009B6397" w:rsidP="009B6397">
      <w:pPr>
        <w:jc w:val="both"/>
        <w:rPr>
          <w:u w:val="single"/>
          <w:lang w:val="kk-KZ"/>
        </w:rPr>
      </w:pPr>
    </w:p>
    <w:p w14:paraId="21CCEC53" w14:textId="77777777" w:rsidR="009B6397" w:rsidRPr="00017296" w:rsidRDefault="009B6397" w:rsidP="009B6397">
      <w:pPr>
        <w:jc w:val="both"/>
        <w:rPr>
          <w:u w:val="single"/>
          <w:lang w:val="kk-KZ"/>
        </w:rPr>
      </w:pPr>
      <w:r w:rsidRPr="00017296">
        <w:rPr>
          <w:u w:val="single"/>
          <w:lang w:val="kk-KZ"/>
        </w:rPr>
        <w:t xml:space="preserve">Келесі инфузиялар  </w:t>
      </w:r>
    </w:p>
    <w:p w14:paraId="4D92ED7D" w14:textId="77777777" w:rsidR="009B6397" w:rsidRPr="00017296" w:rsidRDefault="009B6397" w:rsidP="009B6397">
      <w:pPr>
        <w:jc w:val="both"/>
        <w:rPr>
          <w:i/>
          <w:lang w:val="kk-KZ"/>
        </w:rPr>
      </w:pPr>
      <w:r w:rsidRPr="00017296">
        <w:rPr>
          <w:i/>
          <w:lang w:val="kk-KZ"/>
        </w:rPr>
        <w:t>Қолдануға болатын барлық жағдайлар үшін</w:t>
      </w:r>
    </w:p>
    <w:p w14:paraId="18ADBD3D" w14:textId="77777777" w:rsidR="009B6397" w:rsidRPr="00017296" w:rsidRDefault="009B6397" w:rsidP="009B6397">
      <w:pPr>
        <w:jc w:val="both"/>
        <w:rPr>
          <w:lang w:val="kk-KZ"/>
        </w:rPr>
      </w:pPr>
      <w:r w:rsidRPr="00017296">
        <w:rPr>
          <w:lang w:val="kk-KZ"/>
        </w:rPr>
        <w:t>Келесі дозалар үшін Ритуксимаб инфузиясының жылдамдығы 100 мг/сағаттан басталуы және ең жоғарғы 400 мг/сағ дейін әр 30 минут сайын 100  мг/сағат арттырылуы мүмкін.</w:t>
      </w:r>
    </w:p>
    <w:p w14:paraId="314B16CA" w14:textId="77777777" w:rsidR="009B6397" w:rsidRPr="00017296" w:rsidRDefault="009B6397" w:rsidP="00CC1071">
      <w:pPr>
        <w:tabs>
          <w:tab w:val="left" w:pos="8931"/>
        </w:tabs>
        <w:jc w:val="both"/>
        <w:rPr>
          <w:rFonts w:eastAsia="Calibri"/>
          <w:lang w:val="kk-KZ" w:eastAsia="en-US"/>
        </w:rPr>
      </w:pPr>
    </w:p>
    <w:p w14:paraId="79F9FC06" w14:textId="0B200554" w:rsidR="00CC1071" w:rsidRPr="00017296" w:rsidRDefault="00CC1071" w:rsidP="00CC1071">
      <w:pPr>
        <w:jc w:val="both"/>
        <w:rPr>
          <w:rFonts w:eastAsia="Calibri"/>
          <w:lang w:val="kk-KZ" w:eastAsia="en-US"/>
        </w:rPr>
      </w:pPr>
      <w:r w:rsidRPr="00017296">
        <w:rPr>
          <w:lang w:val="kk-KZ"/>
        </w:rPr>
        <w:t>Ритуксимаб препаратын енгізуді тәжірибелі медицина қызметкерінің мұқият бақылауымен және реанимациялық шараларды жүргізу үшін қажетті жағдайлар болғанда жүзеге асырған жөн.</w:t>
      </w:r>
    </w:p>
    <w:p w14:paraId="064666FF" w14:textId="66791658" w:rsidR="00CC1071" w:rsidRDefault="00CC1071" w:rsidP="00CC1071">
      <w:pPr>
        <w:jc w:val="both"/>
        <w:rPr>
          <w:rFonts w:eastAsia="NewCenturySchlbkCyr-Roman"/>
          <w:lang w:val="kk-KZ"/>
        </w:rPr>
      </w:pPr>
      <w:r w:rsidRPr="00017296">
        <w:rPr>
          <w:lang w:val="kk-KZ"/>
        </w:rPr>
        <w:t xml:space="preserve">Ритуксимаб </w:t>
      </w:r>
      <w:r w:rsidRPr="00017296">
        <w:rPr>
          <w:rFonts w:eastAsia="NewCenturySchlbkCyr-Roman"/>
          <w:lang w:val="kk-KZ"/>
        </w:rPr>
        <w:t xml:space="preserve">препаратының әрбір инфузиясы алдында премедикация жүргізу қажет </w:t>
      </w:r>
      <w:r w:rsidRPr="00017296">
        <w:rPr>
          <w:lang w:val="kk-KZ"/>
        </w:rPr>
        <w:t>(ыстықты түсіретін препарат, мысалы, парацетамол, және антигистаминдік препарат, мысалы, дифенгидрамин)</w:t>
      </w:r>
      <w:r w:rsidRPr="00017296">
        <w:rPr>
          <w:rFonts w:eastAsia="NewCenturySchlbkCyr-Roman"/>
          <w:lang w:val="kk-KZ"/>
        </w:rPr>
        <w:t xml:space="preserve">. </w:t>
      </w:r>
    </w:p>
    <w:p w14:paraId="69A7D204" w14:textId="77777777" w:rsidR="009B6397" w:rsidRPr="00017296" w:rsidRDefault="009B6397" w:rsidP="00CC1071">
      <w:pPr>
        <w:jc w:val="both"/>
        <w:rPr>
          <w:rFonts w:eastAsia="NewCenturySchlbkCyr-Roman"/>
          <w:lang w:val="kk-KZ"/>
        </w:rPr>
      </w:pPr>
    </w:p>
    <w:p w14:paraId="55E9FF01" w14:textId="184C9F16" w:rsidR="00CC1071" w:rsidRPr="00D83480" w:rsidRDefault="009B6397" w:rsidP="00D83480">
      <w:pPr>
        <w:jc w:val="center"/>
        <w:rPr>
          <w:b/>
          <w:i/>
          <w:lang w:val="kk-KZ"/>
        </w:rPr>
      </w:pPr>
      <w:r w:rsidRPr="00017296">
        <w:rPr>
          <w:b/>
          <w:i/>
          <w:lang w:val="kk-KZ"/>
        </w:rPr>
        <w:t>Дозалау режимі қолданылуына байланысты</w:t>
      </w:r>
      <w:r>
        <w:rPr>
          <w:b/>
          <w:i/>
          <w:lang w:val="kk-KZ"/>
        </w:rPr>
        <w:t xml:space="preserve"> </w:t>
      </w:r>
    </w:p>
    <w:p w14:paraId="0CE8B650" w14:textId="77777777" w:rsidR="00CC1071" w:rsidRPr="00017296" w:rsidRDefault="00CC1071" w:rsidP="00CC1071">
      <w:pPr>
        <w:jc w:val="center"/>
        <w:rPr>
          <w:rFonts w:eastAsia="Calibri"/>
          <w:b/>
          <w:bCs/>
          <w:lang w:eastAsia="en-US"/>
        </w:rPr>
      </w:pPr>
      <w:r w:rsidRPr="00017296">
        <w:rPr>
          <w:b/>
          <w:bCs/>
          <w:lang w:val="kk-KZ"/>
        </w:rPr>
        <w:t>Х</w:t>
      </w:r>
      <w:proofErr w:type="spellStart"/>
      <w:r w:rsidRPr="00017296">
        <w:rPr>
          <w:b/>
          <w:bCs/>
        </w:rPr>
        <w:t>оджкин</w:t>
      </w:r>
      <w:proofErr w:type="spellEnd"/>
      <w:r w:rsidRPr="00017296">
        <w:rPr>
          <w:b/>
          <w:bCs/>
          <w:lang w:val="kk-KZ"/>
        </w:rPr>
        <w:t>дік емес</w:t>
      </w:r>
      <w:r w:rsidRPr="00017296">
        <w:rPr>
          <w:b/>
          <w:bCs/>
        </w:rPr>
        <w:t xml:space="preserve"> лимфома</w:t>
      </w:r>
    </w:p>
    <w:p w14:paraId="56A6D295" w14:textId="77777777" w:rsidR="00CC1071" w:rsidRPr="00D83480" w:rsidRDefault="00CC1071" w:rsidP="00CC1071">
      <w:pPr>
        <w:jc w:val="center"/>
        <w:rPr>
          <w:sz w:val="18"/>
          <w:szCs w:val="18"/>
        </w:rPr>
      </w:pP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2128"/>
        <w:gridCol w:w="3829"/>
        <w:gridCol w:w="1702"/>
      </w:tblGrid>
      <w:tr w:rsidR="00CC1071" w:rsidRPr="00017296" w14:paraId="1318EF53" w14:textId="77777777" w:rsidTr="00976EFF">
        <w:trPr>
          <w:trHeight w:val="473"/>
        </w:trPr>
        <w:tc>
          <w:tcPr>
            <w:tcW w:w="9385" w:type="dxa"/>
            <w:gridSpan w:val="4"/>
            <w:tcBorders>
              <w:top w:val="single" w:sz="4" w:space="0" w:color="auto"/>
              <w:left w:val="single" w:sz="4" w:space="0" w:color="auto"/>
              <w:bottom w:val="single" w:sz="4" w:space="0" w:color="auto"/>
              <w:right w:val="single" w:sz="4" w:space="0" w:color="auto"/>
            </w:tcBorders>
            <w:hideMark/>
          </w:tcPr>
          <w:p w14:paraId="58E98ED2" w14:textId="77777777" w:rsidR="00CC1071" w:rsidRPr="00017296" w:rsidRDefault="00CC1071" w:rsidP="00976EFF">
            <w:pPr>
              <w:jc w:val="both"/>
              <w:rPr>
                <w:i/>
              </w:rPr>
            </w:pPr>
            <w:proofErr w:type="spellStart"/>
            <w:r w:rsidRPr="00017296">
              <w:rPr>
                <w:b/>
                <w:bCs/>
                <w:i/>
              </w:rPr>
              <w:t>Фолликуляр</w:t>
            </w:r>
            <w:proofErr w:type="spellEnd"/>
            <w:r w:rsidRPr="00017296">
              <w:rPr>
                <w:b/>
                <w:bCs/>
                <w:i/>
                <w:lang w:val="kk-KZ"/>
              </w:rPr>
              <w:t>лы</w:t>
            </w:r>
            <w:r w:rsidRPr="00017296">
              <w:rPr>
                <w:b/>
                <w:bCs/>
                <w:i/>
                <w:iCs/>
                <w:lang w:val="kk-KZ"/>
              </w:rPr>
              <w:t xml:space="preserve"> </w:t>
            </w:r>
            <w:proofErr w:type="spellStart"/>
            <w:r w:rsidRPr="00017296">
              <w:rPr>
                <w:b/>
                <w:bCs/>
                <w:i/>
              </w:rPr>
              <w:t>ходжкин</w:t>
            </w:r>
            <w:proofErr w:type="spellEnd"/>
            <w:r w:rsidRPr="00017296">
              <w:rPr>
                <w:b/>
                <w:bCs/>
                <w:i/>
                <w:lang w:val="kk-KZ"/>
              </w:rPr>
              <w:t xml:space="preserve">дік емес </w:t>
            </w:r>
            <w:r w:rsidRPr="00017296">
              <w:rPr>
                <w:b/>
                <w:bCs/>
                <w:i/>
              </w:rPr>
              <w:t>лимфома</w:t>
            </w:r>
          </w:p>
        </w:tc>
      </w:tr>
      <w:tr w:rsidR="00CC1071" w:rsidRPr="00017296" w14:paraId="52C9924C" w14:textId="77777777" w:rsidTr="00976EFF">
        <w:trPr>
          <w:trHeight w:val="990"/>
        </w:trPr>
        <w:tc>
          <w:tcPr>
            <w:tcW w:w="1730" w:type="dxa"/>
            <w:tcBorders>
              <w:top w:val="single" w:sz="4" w:space="0" w:color="auto"/>
              <w:left w:val="single" w:sz="4" w:space="0" w:color="auto"/>
              <w:bottom w:val="single" w:sz="4" w:space="0" w:color="auto"/>
              <w:right w:val="single" w:sz="4" w:space="0" w:color="auto"/>
            </w:tcBorders>
          </w:tcPr>
          <w:p w14:paraId="3EA1FF3F" w14:textId="77777777" w:rsidR="00CC1071" w:rsidRPr="00017296" w:rsidRDefault="00CC1071" w:rsidP="00976EFF">
            <w:pPr>
              <w:ind w:hanging="59"/>
              <w:jc w:val="both"/>
              <w:rPr>
                <w:i/>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67C9E149" w14:textId="77777777" w:rsidR="00CC1071" w:rsidRPr="00017296" w:rsidRDefault="00CC1071" w:rsidP="00976EFF">
            <w:pPr>
              <w:jc w:val="center"/>
              <w:rPr>
                <w:i/>
                <w:lang w:val="kk-KZ"/>
              </w:rPr>
            </w:pPr>
            <w:r w:rsidRPr="00017296">
              <w:rPr>
                <w:i/>
                <w:lang w:val="kk-KZ"/>
              </w:rPr>
              <w:t>Ұсынылатын дозасы</w:t>
            </w:r>
          </w:p>
          <w:p w14:paraId="46D49FB6" w14:textId="77777777" w:rsidR="00CC1071" w:rsidRPr="00017296" w:rsidRDefault="00CC1071" w:rsidP="00976EFF">
            <w:pPr>
              <w:jc w:val="center"/>
              <w:rPr>
                <w:i/>
                <w:lang w:val="kk-KZ"/>
              </w:rPr>
            </w:pPr>
            <w:r w:rsidRPr="00017296">
              <w:rPr>
                <w:i/>
                <w:lang w:val="kk-KZ"/>
              </w:rPr>
              <w:t>Енгізу кезеңдігі</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5FFDC10" w14:textId="77777777" w:rsidR="00CC1071" w:rsidRPr="00017296" w:rsidRDefault="00CC1071" w:rsidP="00976EFF">
            <w:pPr>
              <w:jc w:val="center"/>
              <w:rPr>
                <w:i/>
              </w:rPr>
            </w:pPr>
            <w:r w:rsidRPr="00017296">
              <w:rPr>
                <w:i/>
                <w:lang w:val="kk-KZ"/>
              </w:rPr>
              <w:t>Қажетті шарттар</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3AA2E93" w14:textId="77777777" w:rsidR="00CC1071" w:rsidRPr="00017296" w:rsidRDefault="00CC1071" w:rsidP="00976EFF">
            <w:pPr>
              <w:jc w:val="center"/>
              <w:rPr>
                <w:i/>
              </w:rPr>
            </w:pPr>
            <w:r w:rsidRPr="00017296">
              <w:rPr>
                <w:i/>
                <w:lang w:val="kk-KZ"/>
              </w:rPr>
              <w:t>Емнің ұзақтығы</w:t>
            </w:r>
          </w:p>
        </w:tc>
      </w:tr>
      <w:tr w:rsidR="00CC1071" w:rsidRPr="00017296" w14:paraId="0D1B22A5" w14:textId="77777777" w:rsidTr="00976EFF">
        <w:tc>
          <w:tcPr>
            <w:tcW w:w="1730" w:type="dxa"/>
            <w:tcBorders>
              <w:top w:val="single" w:sz="4" w:space="0" w:color="auto"/>
              <w:left w:val="single" w:sz="4" w:space="0" w:color="auto"/>
              <w:bottom w:val="single" w:sz="4" w:space="0" w:color="auto"/>
              <w:right w:val="single" w:sz="4" w:space="0" w:color="auto"/>
            </w:tcBorders>
            <w:vAlign w:val="center"/>
            <w:hideMark/>
          </w:tcPr>
          <w:p w14:paraId="19FE3FBC" w14:textId="77777777" w:rsidR="00CC1071" w:rsidRPr="00017296" w:rsidRDefault="00CC1071" w:rsidP="00976EFF">
            <w:pPr>
              <w:tabs>
                <w:tab w:val="left" w:pos="1476"/>
              </w:tabs>
              <w:rPr>
                <w:i/>
                <w:lang w:val="kk-KZ"/>
              </w:rPr>
            </w:pPr>
            <w:r w:rsidRPr="00017296">
              <w:rPr>
                <w:i/>
                <w:lang w:val="kk-KZ"/>
              </w:rPr>
              <w:t>Біріктірілген ем</w:t>
            </w:r>
          </w:p>
        </w:tc>
        <w:tc>
          <w:tcPr>
            <w:tcW w:w="2127" w:type="dxa"/>
            <w:tcBorders>
              <w:top w:val="single" w:sz="4" w:space="0" w:color="auto"/>
              <w:left w:val="single" w:sz="4" w:space="0" w:color="auto"/>
              <w:bottom w:val="single" w:sz="4" w:space="0" w:color="auto"/>
              <w:right w:val="single" w:sz="4" w:space="0" w:color="auto"/>
            </w:tcBorders>
            <w:vAlign w:val="center"/>
          </w:tcPr>
          <w:p w14:paraId="49DFC5C5" w14:textId="77777777" w:rsidR="00CC1071" w:rsidRPr="00017296" w:rsidRDefault="00CC1071" w:rsidP="00976EFF">
            <w:pPr>
              <w:rPr>
                <w:lang w:val="kk-KZ"/>
              </w:rPr>
            </w:pPr>
            <w:r w:rsidRPr="00017296">
              <w:rPr>
                <w:lang w:val="kk-KZ"/>
              </w:rPr>
              <w:t>бір циклге дене бетінің ауданына 375 мг/м</w:t>
            </w:r>
            <w:r w:rsidRPr="00017296">
              <w:rPr>
                <w:vertAlign w:val="superscript"/>
                <w:lang w:val="kk-KZ"/>
              </w:rPr>
              <w:t>2</w:t>
            </w:r>
            <w:r w:rsidRPr="00017296">
              <w:rPr>
                <w:lang w:val="kk-KZ"/>
              </w:rPr>
              <w:t xml:space="preserve"> </w:t>
            </w:r>
          </w:p>
          <w:p w14:paraId="28B2F26E" w14:textId="77777777" w:rsidR="00CC1071" w:rsidRPr="00017296" w:rsidRDefault="00CC1071" w:rsidP="00976EFF"/>
        </w:tc>
        <w:tc>
          <w:tcPr>
            <w:tcW w:w="3827" w:type="dxa"/>
            <w:tcBorders>
              <w:top w:val="single" w:sz="4" w:space="0" w:color="auto"/>
              <w:left w:val="single" w:sz="4" w:space="0" w:color="auto"/>
              <w:bottom w:val="single" w:sz="4" w:space="0" w:color="auto"/>
              <w:right w:val="single" w:sz="4" w:space="0" w:color="auto"/>
            </w:tcBorders>
            <w:vAlign w:val="center"/>
          </w:tcPr>
          <w:p w14:paraId="740B33F5" w14:textId="77777777" w:rsidR="00CC1071" w:rsidRPr="00017296" w:rsidRDefault="00CC1071" w:rsidP="00976EFF">
            <w:pPr>
              <w:jc w:val="both"/>
              <w:rPr>
                <w:lang w:val="kk-KZ"/>
              </w:rPr>
            </w:pPr>
            <w:r w:rsidRPr="00017296">
              <w:rPr>
                <w:lang w:val="kk-KZ"/>
              </w:rPr>
              <w:t>Глюкокортикоидты гормондарды пайдаланған химиялық ем жағдайында химиялық емнің әрбір циклінің бірінші күні химиялық емнің глюкокортикоидты компонентін енгізгеннен кейін қолдану керек.</w:t>
            </w:r>
          </w:p>
          <w:p w14:paraId="6CD54193" w14:textId="77777777" w:rsidR="00CC1071" w:rsidRPr="00017296" w:rsidRDefault="00CC1071" w:rsidP="00976EFF">
            <w:pPr>
              <w:jc w:val="both"/>
              <w:rPr>
                <w:iCs/>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C41A31B" w14:textId="77777777" w:rsidR="00CC1071" w:rsidRPr="00017296" w:rsidRDefault="00CC1071" w:rsidP="00976EFF">
            <w:pPr>
              <w:rPr>
                <w:lang w:val="kk-KZ"/>
              </w:rPr>
            </w:pPr>
            <w:r w:rsidRPr="00017296">
              <w:rPr>
                <w:lang w:val="kk-KZ"/>
              </w:rPr>
              <w:t>8 циклге дейін</w:t>
            </w:r>
          </w:p>
        </w:tc>
      </w:tr>
      <w:tr w:rsidR="00CC1071" w:rsidRPr="00017296" w14:paraId="27484B34" w14:textId="77777777" w:rsidTr="00976EFF">
        <w:trPr>
          <w:trHeight w:val="1894"/>
        </w:trPr>
        <w:tc>
          <w:tcPr>
            <w:tcW w:w="1730" w:type="dxa"/>
            <w:tcBorders>
              <w:top w:val="single" w:sz="4" w:space="0" w:color="auto"/>
              <w:left w:val="single" w:sz="4" w:space="0" w:color="auto"/>
              <w:bottom w:val="single" w:sz="4" w:space="0" w:color="auto"/>
              <w:right w:val="single" w:sz="4" w:space="0" w:color="auto"/>
            </w:tcBorders>
            <w:vAlign w:val="center"/>
            <w:hideMark/>
          </w:tcPr>
          <w:p w14:paraId="650CD3A1" w14:textId="77777777" w:rsidR="00CC1071" w:rsidRPr="00017296" w:rsidRDefault="00CC1071" w:rsidP="00976EFF">
            <w:pPr>
              <w:ind w:hanging="83"/>
              <w:rPr>
                <w:i/>
              </w:rPr>
            </w:pPr>
            <w:r w:rsidRPr="00017296">
              <w:rPr>
                <w:i/>
                <w:lang w:val="kk-KZ"/>
              </w:rPr>
              <w:t>Демеуші ем</w:t>
            </w:r>
            <w:r w:rsidRPr="00017296">
              <w:rPr>
                <w:i/>
              </w:rPr>
              <w:t>. (</w:t>
            </w:r>
            <w:r w:rsidRPr="00017296">
              <w:rPr>
                <w:lang w:val="kk-KZ"/>
              </w:rPr>
              <w:t>Фолликулярлы лимфомасы бар бұрын емделмеген пациенттер</w:t>
            </w:r>
            <w:r w:rsidRPr="00017296">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81FB077" w14:textId="77777777" w:rsidR="00CC1071" w:rsidRPr="00017296" w:rsidRDefault="00CC1071" w:rsidP="00976EFF">
            <w:r w:rsidRPr="00017296">
              <w:rPr>
                <w:lang w:val="kk-KZ"/>
              </w:rPr>
              <w:t>2 айда 1 рет дене бетінің ауданына 375 мг/м</w:t>
            </w:r>
            <w:r w:rsidRPr="00017296">
              <w:rPr>
                <w:vertAlign w:val="superscript"/>
                <w:lang w:val="kk-KZ"/>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C18B11" w14:textId="77777777" w:rsidR="00CC1071" w:rsidRPr="00017296" w:rsidRDefault="00CC1071" w:rsidP="00976EFF">
            <w:pPr>
              <w:jc w:val="both"/>
              <w:rPr>
                <w:iCs/>
              </w:rPr>
            </w:pPr>
            <w:r w:rsidRPr="00017296">
              <w:rPr>
                <w:lang w:val="kk-KZ"/>
              </w:rPr>
              <w:t>Демеуші емді индукциялық емнің соңғы дозасынан кейін 2 ай өткен соң бастау керек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00C9BE" w14:textId="77777777" w:rsidR="00CC1071" w:rsidRPr="00017296" w:rsidRDefault="00CC1071" w:rsidP="00976EFF">
            <w:r w:rsidRPr="00017296">
              <w:rPr>
                <w:lang w:val="kk-KZ"/>
              </w:rPr>
              <w:t>Аурудың үдеу белгілері пайда болғанға дейін немесе екі жылдан асырмай</w:t>
            </w:r>
          </w:p>
        </w:tc>
      </w:tr>
      <w:tr w:rsidR="00CC1071" w:rsidRPr="00017296" w14:paraId="658F6D69" w14:textId="77777777" w:rsidTr="00976EFF">
        <w:trPr>
          <w:trHeight w:val="1951"/>
        </w:trPr>
        <w:tc>
          <w:tcPr>
            <w:tcW w:w="1730" w:type="dxa"/>
            <w:tcBorders>
              <w:top w:val="single" w:sz="4" w:space="0" w:color="auto"/>
              <w:left w:val="single" w:sz="4" w:space="0" w:color="auto"/>
              <w:bottom w:val="single" w:sz="4" w:space="0" w:color="auto"/>
              <w:right w:val="single" w:sz="4" w:space="0" w:color="auto"/>
            </w:tcBorders>
            <w:vAlign w:val="center"/>
            <w:hideMark/>
          </w:tcPr>
          <w:p w14:paraId="1B79C0D1" w14:textId="77777777" w:rsidR="00CC1071" w:rsidRPr="00017296" w:rsidRDefault="00CC1071" w:rsidP="00976EFF">
            <w:pPr>
              <w:rPr>
                <w:i/>
              </w:rPr>
            </w:pPr>
            <w:r w:rsidRPr="00017296">
              <w:rPr>
                <w:i/>
                <w:lang w:val="kk-KZ"/>
              </w:rPr>
              <w:t>Демеуші ем</w:t>
            </w:r>
            <w:r w:rsidRPr="00017296">
              <w:rPr>
                <w:i/>
              </w:rPr>
              <w:t>. (</w:t>
            </w:r>
            <w:r w:rsidRPr="00017296">
              <w:rPr>
                <w:lang w:val="kk-KZ"/>
              </w:rPr>
              <w:t>Қайталанған/рефрактерлі фолликулярлық лимфомасы бар пациенттер</w:t>
            </w:r>
            <w:r w:rsidRPr="00017296">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8E6CADF" w14:textId="77777777" w:rsidR="00CC1071" w:rsidRPr="00017296" w:rsidRDefault="00CC1071" w:rsidP="00976EFF">
            <w:r w:rsidRPr="00017296">
              <w:rPr>
                <w:lang w:val="kk-KZ"/>
              </w:rPr>
              <w:t>3 айда 1 рет дене бетінің ауданына 375 мг/м</w:t>
            </w:r>
            <w:r w:rsidRPr="00017296">
              <w:rPr>
                <w:vertAlign w:val="superscript"/>
                <w:lang w:val="kk-KZ"/>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901A8A6" w14:textId="77777777" w:rsidR="00CC1071" w:rsidRPr="00017296" w:rsidRDefault="00CC1071" w:rsidP="00976EFF">
            <w:pPr>
              <w:jc w:val="both"/>
              <w:rPr>
                <w:iCs/>
              </w:rPr>
            </w:pPr>
            <w:r w:rsidRPr="00017296">
              <w:rPr>
                <w:lang w:val="kk-KZ"/>
              </w:rPr>
              <w:t>Демеуші емді индукциялық емнің соңғы дозасынан кейін 3 ай өткен соң бастау керек</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AFC7C4" w14:textId="77777777" w:rsidR="00CC1071" w:rsidRPr="00017296" w:rsidRDefault="00CC1071" w:rsidP="00976EFF">
            <w:r w:rsidRPr="00017296">
              <w:rPr>
                <w:lang w:val="kk-KZ"/>
              </w:rPr>
              <w:t>Аурудың үдеу белгілері пайда болғанға дейін немесе екі жылдан асырмай</w:t>
            </w:r>
          </w:p>
        </w:tc>
      </w:tr>
      <w:tr w:rsidR="00CC1071" w:rsidRPr="00017296" w14:paraId="6A085971" w14:textId="77777777" w:rsidTr="00976EFF">
        <w:trPr>
          <w:trHeight w:val="1980"/>
        </w:trPr>
        <w:tc>
          <w:tcPr>
            <w:tcW w:w="1730" w:type="dxa"/>
            <w:tcBorders>
              <w:top w:val="single" w:sz="4" w:space="0" w:color="auto"/>
              <w:left w:val="single" w:sz="4" w:space="0" w:color="auto"/>
              <w:bottom w:val="single" w:sz="4" w:space="0" w:color="auto"/>
              <w:right w:val="single" w:sz="4" w:space="0" w:color="auto"/>
            </w:tcBorders>
            <w:vAlign w:val="center"/>
            <w:hideMark/>
          </w:tcPr>
          <w:p w14:paraId="4A6552B9" w14:textId="77777777" w:rsidR="00CC1071" w:rsidRPr="00017296" w:rsidRDefault="00CC1071" w:rsidP="00976EFF">
            <w:pPr>
              <w:rPr>
                <w:i/>
              </w:rPr>
            </w:pPr>
            <w:proofErr w:type="spellStart"/>
            <w:r w:rsidRPr="00017296">
              <w:rPr>
                <w:i/>
              </w:rPr>
              <w:lastRenderedPageBreak/>
              <w:t>Монотерапия</w:t>
            </w:r>
            <w:proofErr w:type="spellEnd"/>
            <w:r w:rsidRPr="00017296">
              <w:rPr>
                <w:i/>
              </w:rPr>
              <w:t>. (</w:t>
            </w:r>
            <w:r w:rsidRPr="00017296">
              <w:rPr>
                <w:lang w:val="kk-KZ"/>
              </w:rPr>
              <w:t>Қайталанған/рефрактерлі фолликулярлық лимфомасы бар пациенттер</w:t>
            </w:r>
            <w:r w:rsidRPr="00017296">
              <w:t>)</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C236D88" w14:textId="77777777" w:rsidR="00CC1071" w:rsidRPr="00017296" w:rsidRDefault="00CC1071" w:rsidP="00976EFF">
            <w:r w:rsidRPr="00017296">
              <w:rPr>
                <w:lang w:val="kk-KZ"/>
              </w:rPr>
              <w:t>Аптасына 1 рет дене бетінің ауданына 375 мг/м</w:t>
            </w:r>
            <w:r w:rsidRPr="00017296">
              <w:rPr>
                <w:vertAlign w:val="superscript"/>
                <w:lang w:val="kk-KZ"/>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2DCA94" w14:textId="77777777" w:rsidR="00CC1071" w:rsidRPr="00017296" w:rsidRDefault="00CC1071" w:rsidP="00976EFF">
            <w:pPr>
              <w:jc w:val="both"/>
              <w:rPr>
                <w:iCs/>
              </w:rPr>
            </w:pPr>
            <w:r w:rsidRPr="00017296">
              <w:rPr>
                <w:lang w:val="kk-KZ"/>
              </w:rPr>
              <w:t>III-IV сатыдағы химиялық тұрақты фолликулярлық лимфомасы бар ересек пациенттерде индукциялық ем үшін немесе химиялық ем жүргізгеннен кейін екінші және кейінгі қайталануларды емдеу үшін</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C1773F" w14:textId="77777777" w:rsidR="00CC1071" w:rsidRPr="00017296" w:rsidRDefault="00CC1071" w:rsidP="00976EFF">
            <w:r w:rsidRPr="00017296">
              <w:rPr>
                <w:lang w:val="kk-KZ"/>
              </w:rPr>
              <w:t>Төрт апта бойы</w:t>
            </w:r>
          </w:p>
        </w:tc>
      </w:tr>
      <w:tr w:rsidR="00CC1071" w:rsidRPr="00017296" w14:paraId="34776888" w14:textId="77777777" w:rsidTr="00976EFF">
        <w:trPr>
          <w:trHeight w:val="406"/>
        </w:trPr>
        <w:tc>
          <w:tcPr>
            <w:tcW w:w="9385" w:type="dxa"/>
            <w:gridSpan w:val="4"/>
            <w:tcBorders>
              <w:top w:val="single" w:sz="4" w:space="0" w:color="auto"/>
              <w:left w:val="single" w:sz="4" w:space="0" w:color="auto"/>
              <w:bottom w:val="single" w:sz="4" w:space="0" w:color="auto"/>
              <w:right w:val="single" w:sz="4" w:space="0" w:color="auto"/>
            </w:tcBorders>
            <w:vAlign w:val="center"/>
            <w:hideMark/>
          </w:tcPr>
          <w:p w14:paraId="5D5C2EAC" w14:textId="77777777" w:rsidR="00CC1071" w:rsidRPr="00017296" w:rsidRDefault="00CC1071" w:rsidP="00976EFF">
            <w:pPr>
              <w:jc w:val="both"/>
              <w:rPr>
                <w:b/>
                <w:bCs/>
                <w:i/>
                <w:lang w:eastAsia="en-CA"/>
              </w:rPr>
            </w:pPr>
            <w:proofErr w:type="spellStart"/>
            <w:r w:rsidRPr="00017296">
              <w:rPr>
                <w:b/>
                <w:bCs/>
                <w:i/>
                <w:lang w:eastAsia="en-CA"/>
              </w:rPr>
              <w:t>Диффуз</w:t>
            </w:r>
            <w:proofErr w:type="spellEnd"/>
            <w:r w:rsidRPr="00017296">
              <w:rPr>
                <w:b/>
                <w:bCs/>
                <w:i/>
                <w:lang w:val="kk-KZ" w:eastAsia="en-CA"/>
              </w:rPr>
              <w:t xml:space="preserve">иялы </w:t>
            </w:r>
            <w:r w:rsidRPr="00017296">
              <w:rPr>
                <w:b/>
                <w:bCs/>
                <w:i/>
                <w:lang w:eastAsia="en-CA"/>
              </w:rPr>
              <w:t>В-</w:t>
            </w:r>
            <w:r w:rsidRPr="00017296">
              <w:rPr>
                <w:b/>
                <w:bCs/>
                <w:i/>
                <w:lang w:val="kk-KZ" w:eastAsia="en-CA"/>
              </w:rPr>
              <w:t>ірі жасушалы</w:t>
            </w:r>
            <w:r w:rsidRPr="00017296">
              <w:rPr>
                <w:b/>
                <w:bCs/>
                <w:i/>
                <w:lang w:eastAsia="en-CA"/>
              </w:rPr>
              <w:t xml:space="preserve"> </w:t>
            </w:r>
            <w:proofErr w:type="spellStart"/>
            <w:r w:rsidRPr="00017296">
              <w:rPr>
                <w:b/>
                <w:bCs/>
                <w:i/>
                <w:lang w:eastAsia="en-CA"/>
              </w:rPr>
              <w:t>ходжкин</w:t>
            </w:r>
            <w:proofErr w:type="spellEnd"/>
            <w:r w:rsidRPr="00017296">
              <w:rPr>
                <w:b/>
                <w:bCs/>
                <w:i/>
                <w:lang w:val="kk-KZ" w:eastAsia="en-CA"/>
              </w:rPr>
              <w:t xml:space="preserve">дік емес </w:t>
            </w:r>
            <w:r w:rsidRPr="00017296">
              <w:rPr>
                <w:b/>
                <w:bCs/>
                <w:i/>
                <w:lang w:eastAsia="en-CA"/>
              </w:rPr>
              <w:t>лимфома</w:t>
            </w:r>
          </w:p>
        </w:tc>
      </w:tr>
      <w:tr w:rsidR="00CC1071" w:rsidRPr="00017296" w14:paraId="0BB7561D" w14:textId="77777777" w:rsidTr="00976EFF">
        <w:tc>
          <w:tcPr>
            <w:tcW w:w="1730" w:type="dxa"/>
            <w:tcBorders>
              <w:top w:val="single" w:sz="4" w:space="0" w:color="auto"/>
              <w:left w:val="single" w:sz="4" w:space="0" w:color="auto"/>
              <w:bottom w:val="single" w:sz="4" w:space="0" w:color="auto"/>
              <w:right w:val="single" w:sz="4" w:space="0" w:color="auto"/>
            </w:tcBorders>
            <w:vAlign w:val="center"/>
            <w:hideMark/>
          </w:tcPr>
          <w:p w14:paraId="63F20065" w14:textId="77777777" w:rsidR="00CC1071" w:rsidRPr="00017296" w:rsidRDefault="00CC1071" w:rsidP="00976EFF">
            <w:pPr>
              <w:rPr>
                <w:i/>
                <w:lang w:eastAsia="en-US"/>
              </w:rPr>
            </w:pPr>
            <w:r w:rsidRPr="00017296">
              <w:rPr>
                <w:i/>
              </w:rPr>
              <w:t>н/п</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6061E79" w14:textId="77777777" w:rsidR="00CC1071" w:rsidRPr="00017296" w:rsidRDefault="00CC1071" w:rsidP="00976EFF">
            <w:r w:rsidRPr="00017296">
              <w:rPr>
                <w:lang w:val="kk-KZ"/>
              </w:rPr>
              <w:t>Дене бетінің ауданына 375 мг/м</w:t>
            </w:r>
            <w:r w:rsidRPr="00017296">
              <w:rPr>
                <w:vertAlign w:val="superscript"/>
                <w:lang w:val="kk-KZ"/>
              </w:rPr>
              <w:t>2</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CBE47E" w14:textId="77777777" w:rsidR="00CC1071" w:rsidRPr="00017296" w:rsidRDefault="00CC1071" w:rsidP="00976EFF">
            <w:pPr>
              <w:jc w:val="both"/>
              <w:rPr>
                <w:iCs/>
                <w:lang w:val="kk-KZ"/>
              </w:rPr>
            </w:pPr>
            <w:r w:rsidRPr="00017296">
              <w:rPr>
                <w:lang w:val="kk-KZ" w:eastAsia="en-CA"/>
              </w:rPr>
              <w:t>Химиялық емнің глюкокортикостероидты компонентін CHOP сызбасы бойынша вена ішіне енгізгеннен кейін химиялық емнің әрбір циклінің бірінші күні</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0099C21" w14:textId="77777777" w:rsidR="00CC1071" w:rsidRPr="00017296" w:rsidRDefault="00CC1071" w:rsidP="00976EFF">
            <w:r w:rsidRPr="00017296">
              <w:t>8 цикл</w:t>
            </w:r>
          </w:p>
        </w:tc>
      </w:tr>
    </w:tbl>
    <w:p w14:paraId="136F4BE3" w14:textId="77777777" w:rsidR="00CC1071" w:rsidRPr="00017296" w:rsidRDefault="00CC1071" w:rsidP="00CC1071">
      <w:pPr>
        <w:jc w:val="center"/>
        <w:rPr>
          <w:sz w:val="16"/>
          <w:szCs w:val="16"/>
          <w:lang w:eastAsia="en-US"/>
        </w:rPr>
      </w:pPr>
    </w:p>
    <w:p w14:paraId="2FBF112F" w14:textId="77777777" w:rsidR="00CC1071" w:rsidRPr="00017296" w:rsidRDefault="00CC1071" w:rsidP="00CC1071">
      <w:pPr>
        <w:jc w:val="both"/>
        <w:rPr>
          <w:i/>
          <w:lang w:eastAsia="en-CA"/>
        </w:rPr>
      </w:pPr>
      <w:r w:rsidRPr="00017296">
        <w:rPr>
          <w:i/>
          <w:lang w:val="kk-KZ" w:eastAsia="en-CA"/>
        </w:rPr>
        <w:t>Емдеу кезінде</w:t>
      </w:r>
      <w:r w:rsidRPr="00017296">
        <w:rPr>
          <w:i/>
          <w:lang w:eastAsia="en-CA"/>
        </w:rPr>
        <w:t xml:space="preserve"> препарат</w:t>
      </w:r>
      <w:r w:rsidRPr="00017296">
        <w:rPr>
          <w:i/>
          <w:lang w:val="kk-KZ" w:eastAsia="en-CA"/>
        </w:rPr>
        <w:t>тың дозасын түзету</w:t>
      </w:r>
    </w:p>
    <w:p w14:paraId="500317ED" w14:textId="77777777" w:rsidR="00CC1071" w:rsidRPr="00017296" w:rsidRDefault="00CC1071" w:rsidP="00CC1071">
      <w:pPr>
        <w:jc w:val="both"/>
        <w:rPr>
          <w:lang w:eastAsia="en-CA"/>
        </w:rPr>
      </w:pPr>
      <w:r w:rsidRPr="00017296">
        <w:rPr>
          <w:lang w:eastAsia="en-CA"/>
        </w:rPr>
        <w:t>Ритуксимаб препарат</w:t>
      </w:r>
      <w:r w:rsidRPr="00017296">
        <w:rPr>
          <w:lang w:val="kk-KZ" w:eastAsia="en-CA"/>
        </w:rPr>
        <w:t>ының дозасын төмендету ұсынылмайды</w:t>
      </w:r>
      <w:r w:rsidRPr="00017296">
        <w:rPr>
          <w:lang w:eastAsia="en-CA"/>
        </w:rPr>
        <w:t xml:space="preserve">. </w:t>
      </w:r>
      <w:r w:rsidRPr="00017296">
        <w:rPr>
          <w:lang w:val="kk-KZ" w:eastAsia="en-CA"/>
        </w:rPr>
        <w:t>Х</w:t>
      </w:r>
      <w:r w:rsidRPr="00017296">
        <w:rPr>
          <w:lang w:eastAsia="en-CA"/>
        </w:rPr>
        <w:t>ими</w:t>
      </w:r>
      <w:r w:rsidRPr="00017296">
        <w:rPr>
          <w:lang w:val="kk-KZ" w:eastAsia="en-CA"/>
        </w:rPr>
        <w:t xml:space="preserve">ялық емді </w:t>
      </w:r>
      <w:r w:rsidRPr="00017296">
        <w:rPr>
          <w:lang w:eastAsia="en-CA"/>
        </w:rPr>
        <w:t>Ритуксимаб препарат</w:t>
      </w:r>
      <w:r w:rsidRPr="00017296">
        <w:rPr>
          <w:lang w:val="kk-KZ" w:eastAsia="en-CA"/>
        </w:rPr>
        <w:t>ымен біріктіріп қолданған кезде</w:t>
      </w:r>
      <w:r w:rsidRPr="00017296">
        <w:rPr>
          <w:lang w:eastAsia="en-CA"/>
        </w:rPr>
        <w:t xml:space="preserve"> </w:t>
      </w:r>
      <w:proofErr w:type="spellStart"/>
      <w:r w:rsidRPr="00017296">
        <w:rPr>
          <w:lang w:eastAsia="en-CA"/>
        </w:rPr>
        <w:t>хими</w:t>
      </w:r>
      <w:proofErr w:type="spellEnd"/>
      <w:r w:rsidRPr="00017296">
        <w:rPr>
          <w:lang w:val="kk-KZ" w:eastAsia="en-CA"/>
        </w:rPr>
        <w:t>ялық емнің компоненттерінің дозасын</w:t>
      </w:r>
      <w:r w:rsidRPr="00017296">
        <w:rPr>
          <w:lang w:eastAsia="en-CA"/>
        </w:rPr>
        <w:t xml:space="preserve"> стандарт</w:t>
      </w:r>
      <w:r w:rsidRPr="00017296">
        <w:rPr>
          <w:lang w:val="kk-KZ" w:eastAsia="en-CA"/>
        </w:rPr>
        <w:t>ты сызбалар бойынша төмендетуге болады</w:t>
      </w:r>
      <w:r w:rsidRPr="00017296">
        <w:rPr>
          <w:lang w:eastAsia="en-CA"/>
        </w:rPr>
        <w:t>.</w:t>
      </w:r>
    </w:p>
    <w:p w14:paraId="21B9BD49" w14:textId="77777777" w:rsidR="00CC1071" w:rsidRDefault="00CC1071" w:rsidP="00CC1071">
      <w:pPr>
        <w:jc w:val="center"/>
        <w:rPr>
          <w:b/>
          <w:bCs/>
          <w:lang w:val="kk-KZ" w:eastAsia="en-CA"/>
        </w:rPr>
      </w:pPr>
    </w:p>
    <w:p w14:paraId="6D9F595B" w14:textId="77777777" w:rsidR="00CC1071" w:rsidRPr="00017296" w:rsidRDefault="00CC1071" w:rsidP="00CC1071">
      <w:pPr>
        <w:jc w:val="center"/>
        <w:rPr>
          <w:b/>
          <w:bCs/>
          <w:i/>
          <w:iCs/>
          <w:lang w:eastAsia="en-CA"/>
        </w:rPr>
      </w:pPr>
      <w:r w:rsidRPr="00017296">
        <w:rPr>
          <w:b/>
          <w:bCs/>
          <w:lang w:val="kk-KZ" w:eastAsia="en-CA"/>
        </w:rPr>
        <w:t>Созылмалы</w:t>
      </w:r>
      <w:r w:rsidRPr="00017296">
        <w:rPr>
          <w:b/>
          <w:bCs/>
          <w:lang w:eastAsia="en-CA"/>
        </w:rPr>
        <w:t xml:space="preserve"> </w:t>
      </w:r>
      <w:proofErr w:type="spellStart"/>
      <w:r w:rsidRPr="00017296">
        <w:rPr>
          <w:b/>
          <w:bCs/>
          <w:lang w:eastAsia="en-CA"/>
        </w:rPr>
        <w:t>лимфолейкоз</w:t>
      </w:r>
      <w:proofErr w:type="spellEnd"/>
    </w:p>
    <w:p w14:paraId="1533EEF9" w14:textId="77777777" w:rsidR="00CC1071" w:rsidRPr="00017296" w:rsidRDefault="00CC1071" w:rsidP="00CC1071">
      <w:pPr>
        <w:rPr>
          <w:lang w:eastAsia="en-US"/>
        </w:rPr>
      </w:pPr>
    </w:p>
    <w:tbl>
      <w:tblPr>
        <w:tblW w:w="9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5906"/>
        <w:gridCol w:w="1269"/>
      </w:tblGrid>
      <w:tr w:rsidR="00CC1071" w:rsidRPr="00017296" w14:paraId="17E8F0EC" w14:textId="77777777" w:rsidTr="00976EFF">
        <w:trPr>
          <w:trHeight w:val="735"/>
        </w:trPr>
        <w:tc>
          <w:tcPr>
            <w:tcW w:w="2064" w:type="dxa"/>
            <w:tcBorders>
              <w:top w:val="single" w:sz="4" w:space="0" w:color="auto"/>
              <w:left w:val="single" w:sz="4" w:space="0" w:color="auto"/>
              <w:bottom w:val="single" w:sz="4" w:space="0" w:color="auto"/>
              <w:right w:val="single" w:sz="4" w:space="0" w:color="auto"/>
            </w:tcBorders>
            <w:vAlign w:val="center"/>
            <w:hideMark/>
          </w:tcPr>
          <w:p w14:paraId="04638421" w14:textId="77777777" w:rsidR="00CC1071" w:rsidRPr="00017296" w:rsidRDefault="00CC1071" w:rsidP="00976EFF">
            <w:pPr>
              <w:jc w:val="center"/>
              <w:rPr>
                <w:i/>
                <w:lang w:val="kk-KZ"/>
              </w:rPr>
            </w:pPr>
            <w:r w:rsidRPr="00017296">
              <w:rPr>
                <w:i/>
                <w:lang w:val="kk-KZ"/>
              </w:rPr>
              <w:t>Ұсынылатын дозасы</w:t>
            </w:r>
          </w:p>
        </w:tc>
        <w:tc>
          <w:tcPr>
            <w:tcW w:w="5906" w:type="dxa"/>
            <w:tcBorders>
              <w:top w:val="single" w:sz="4" w:space="0" w:color="auto"/>
              <w:left w:val="single" w:sz="4" w:space="0" w:color="auto"/>
              <w:bottom w:val="single" w:sz="4" w:space="0" w:color="auto"/>
              <w:right w:val="single" w:sz="4" w:space="0" w:color="auto"/>
            </w:tcBorders>
            <w:vAlign w:val="center"/>
            <w:hideMark/>
          </w:tcPr>
          <w:p w14:paraId="78D085E8" w14:textId="77777777" w:rsidR="00CC1071" w:rsidRPr="00017296" w:rsidRDefault="00CC1071" w:rsidP="00976EFF">
            <w:pPr>
              <w:jc w:val="center"/>
              <w:rPr>
                <w:i/>
              </w:rPr>
            </w:pPr>
            <w:r w:rsidRPr="00017296">
              <w:rPr>
                <w:i/>
                <w:lang w:val="kk-KZ"/>
              </w:rPr>
              <w:t>Қажетті шарттар</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2ADFDA7" w14:textId="77777777" w:rsidR="00CC1071" w:rsidRPr="00017296" w:rsidRDefault="00CC1071" w:rsidP="00976EFF">
            <w:pPr>
              <w:jc w:val="center"/>
              <w:rPr>
                <w:i/>
              </w:rPr>
            </w:pPr>
            <w:r w:rsidRPr="00017296">
              <w:rPr>
                <w:i/>
                <w:lang w:val="kk-KZ"/>
              </w:rPr>
              <w:t>Емнің ұзақтығы</w:t>
            </w:r>
          </w:p>
        </w:tc>
      </w:tr>
      <w:tr w:rsidR="00CC1071" w:rsidRPr="00B020E8" w14:paraId="117AF434" w14:textId="77777777" w:rsidTr="00976EFF">
        <w:trPr>
          <w:trHeight w:val="820"/>
        </w:trPr>
        <w:tc>
          <w:tcPr>
            <w:tcW w:w="2064" w:type="dxa"/>
            <w:tcBorders>
              <w:top w:val="single" w:sz="4" w:space="0" w:color="auto"/>
              <w:left w:val="single" w:sz="4" w:space="0" w:color="auto"/>
              <w:bottom w:val="single" w:sz="4" w:space="0" w:color="auto"/>
              <w:right w:val="single" w:sz="4" w:space="0" w:color="auto"/>
            </w:tcBorders>
            <w:vAlign w:val="center"/>
          </w:tcPr>
          <w:p w14:paraId="5E6F4DF2" w14:textId="77777777" w:rsidR="00CC1071" w:rsidRPr="00017296" w:rsidRDefault="00CC1071" w:rsidP="00976EFF">
            <w:pPr>
              <w:jc w:val="center"/>
              <w:rPr>
                <w:i/>
                <w:lang w:val="kk-KZ"/>
              </w:rPr>
            </w:pPr>
            <w:r w:rsidRPr="00017296">
              <w:rPr>
                <w:lang w:val="kk-KZ" w:eastAsia="en-CA"/>
              </w:rPr>
              <w:t>Бірінші циклдің 0 күні 375 мг/м</w:t>
            </w:r>
            <w:r w:rsidRPr="00017296">
              <w:rPr>
                <w:vertAlign w:val="superscript"/>
                <w:lang w:val="kk-KZ" w:eastAsia="en-CA"/>
              </w:rPr>
              <w:t>2</w:t>
            </w:r>
            <w:r w:rsidRPr="00017296">
              <w:rPr>
                <w:lang w:val="kk-KZ" w:eastAsia="en-CA"/>
              </w:rPr>
              <w:t> құрайды,</w:t>
            </w:r>
          </w:p>
        </w:tc>
        <w:tc>
          <w:tcPr>
            <w:tcW w:w="5906" w:type="dxa"/>
            <w:tcBorders>
              <w:top w:val="single" w:sz="4" w:space="0" w:color="auto"/>
              <w:left w:val="single" w:sz="4" w:space="0" w:color="auto"/>
              <w:bottom w:val="single" w:sz="4" w:space="0" w:color="auto"/>
              <w:right w:val="single" w:sz="4" w:space="0" w:color="auto"/>
            </w:tcBorders>
            <w:vAlign w:val="center"/>
          </w:tcPr>
          <w:p w14:paraId="6F0E304D" w14:textId="77777777" w:rsidR="00CC1071" w:rsidRPr="00017296" w:rsidRDefault="00CC1071" w:rsidP="00976EFF">
            <w:pPr>
              <w:jc w:val="both"/>
              <w:rPr>
                <w:i/>
                <w:lang w:val="kk-KZ"/>
              </w:rPr>
            </w:pPr>
            <w:r w:rsidRPr="00017296">
              <w:rPr>
                <w:rFonts w:eastAsia="NewCenturySchlbkCyr-Roman"/>
                <w:lang w:val="kk-KZ"/>
              </w:rPr>
              <w:t>Созылмалы лимфолейкозы (СЛЛ) бар пациенттерде ісіктің лизисі синдромының даму қаупін төмендету үшін жеткілікті  гидратацияны профилактикалық қамтамасыз ету және ем басталардан 48 сағат бұрын</w:t>
            </w:r>
          </w:p>
        </w:tc>
        <w:tc>
          <w:tcPr>
            <w:tcW w:w="1269" w:type="dxa"/>
            <w:tcBorders>
              <w:top w:val="single" w:sz="4" w:space="0" w:color="auto"/>
              <w:left w:val="single" w:sz="4" w:space="0" w:color="auto"/>
              <w:bottom w:val="single" w:sz="4" w:space="0" w:color="auto"/>
              <w:right w:val="single" w:sz="4" w:space="0" w:color="auto"/>
            </w:tcBorders>
            <w:vAlign w:val="center"/>
          </w:tcPr>
          <w:p w14:paraId="0E5FEFB0" w14:textId="77777777" w:rsidR="00CC1071" w:rsidRPr="00017296" w:rsidRDefault="00CC1071" w:rsidP="00976EFF">
            <w:pPr>
              <w:jc w:val="center"/>
              <w:rPr>
                <w:i/>
                <w:lang w:val="kk-KZ"/>
              </w:rPr>
            </w:pPr>
          </w:p>
        </w:tc>
      </w:tr>
      <w:tr w:rsidR="00CC1071" w:rsidRPr="00017296" w14:paraId="0E39DD23" w14:textId="77777777" w:rsidTr="00976EFF">
        <w:trPr>
          <w:trHeight w:val="2178"/>
        </w:trPr>
        <w:tc>
          <w:tcPr>
            <w:tcW w:w="2064" w:type="dxa"/>
            <w:tcBorders>
              <w:top w:val="single" w:sz="4" w:space="0" w:color="auto"/>
              <w:left w:val="single" w:sz="4" w:space="0" w:color="auto"/>
              <w:bottom w:val="single" w:sz="4" w:space="0" w:color="auto"/>
              <w:right w:val="single" w:sz="4" w:space="0" w:color="auto"/>
            </w:tcBorders>
            <w:vAlign w:val="center"/>
            <w:hideMark/>
          </w:tcPr>
          <w:p w14:paraId="34F72A62" w14:textId="77777777" w:rsidR="00CC1071" w:rsidRPr="00AF3157" w:rsidRDefault="00CC1071" w:rsidP="00976EFF">
            <w:pPr>
              <w:jc w:val="center"/>
              <w:rPr>
                <w:lang w:val="kk-KZ"/>
              </w:rPr>
            </w:pPr>
            <w:r w:rsidRPr="00017296">
              <w:rPr>
                <w:lang w:val="kk-KZ" w:eastAsia="en-CA"/>
              </w:rPr>
              <w:t>содан кейін әрбір келесі циклдің 1-ші күні 500 мг/м</w:t>
            </w:r>
            <w:r w:rsidRPr="00017296">
              <w:rPr>
                <w:vertAlign w:val="superscript"/>
                <w:lang w:val="kk-KZ" w:eastAsia="en-CA"/>
              </w:rPr>
              <w:t>2</w:t>
            </w:r>
          </w:p>
        </w:tc>
        <w:tc>
          <w:tcPr>
            <w:tcW w:w="5906" w:type="dxa"/>
            <w:tcBorders>
              <w:top w:val="single" w:sz="4" w:space="0" w:color="auto"/>
              <w:left w:val="single" w:sz="4" w:space="0" w:color="auto"/>
              <w:bottom w:val="single" w:sz="4" w:space="0" w:color="auto"/>
              <w:right w:val="single" w:sz="4" w:space="0" w:color="auto"/>
            </w:tcBorders>
            <w:vAlign w:val="center"/>
            <w:hideMark/>
          </w:tcPr>
          <w:p w14:paraId="0921D3FC" w14:textId="77777777" w:rsidR="00CC1071" w:rsidRPr="00017296" w:rsidRDefault="00CC1071" w:rsidP="00976EFF">
            <w:pPr>
              <w:jc w:val="both"/>
              <w:rPr>
                <w:lang w:val="kk-KZ"/>
              </w:rPr>
            </w:pPr>
            <w:r w:rsidRPr="00017296">
              <w:rPr>
                <w:rFonts w:eastAsia="NewCenturySchlbkCyr-Roman"/>
                <w:lang w:val="kk-KZ"/>
              </w:rPr>
              <w:t xml:space="preserve">урикостатиктерді  енгізу ұсынылады.  СЛЛ бар немесе лимфоциттер деңгейі </w:t>
            </w:r>
            <w:r w:rsidRPr="00017296">
              <w:rPr>
                <w:lang w:val="kk-KZ" w:eastAsia="en-CA"/>
              </w:rPr>
              <w:t>&gt; 25 × 10</w:t>
            </w:r>
            <w:r w:rsidRPr="00017296">
              <w:rPr>
                <w:vertAlign w:val="superscript"/>
                <w:lang w:val="kk-KZ" w:eastAsia="en-CA"/>
              </w:rPr>
              <w:t>9</w:t>
            </w:r>
            <w:r w:rsidRPr="00017296">
              <w:rPr>
                <w:lang w:val="kk-KZ" w:eastAsia="en-CA"/>
              </w:rPr>
              <w:t xml:space="preserve">/л </w:t>
            </w:r>
            <w:r w:rsidRPr="00017296">
              <w:rPr>
                <w:rFonts w:eastAsia="NewCenturySchlbkCyr-Roman"/>
                <w:lang w:val="kk-KZ"/>
              </w:rPr>
              <w:t xml:space="preserve">болатын пациенттерде жедел инфузиялық реакциялардың   және/немесе цитокиндердің босап шығу синдромының жиілігі мен ауырлығын төмендету үшін </w:t>
            </w:r>
            <w:r w:rsidRPr="00017296">
              <w:rPr>
                <w:lang w:val="kk-KZ" w:eastAsia="en-CA"/>
              </w:rPr>
              <w:t xml:space="preserve">Ритуксимаб препаратының </w:t>
            </w:r>
            <w:r w:rsidRPr="00017296">
              <w:rPr>
                <w:rFonts w:eastAsia="NewCenturySchlbkCyr-Roman"/>
                <w:lang w:val="kk-KZ"/>
              </w:rPr>
              <w:t>инфузиясына дейін 100 мг дозада преднизон/преднизолонды қысқа уақыт ішінде вена ішіне енгізу ұсынылады</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1CE30FA" w14:textId="77777777" w:rsidR="00CC1071" w:rsidRPr="00017296" w:rsidRDefault="00CC1071" w:rsidP="00976EFF">
            <w:pPr>
              <w:rPr>
                <w:lang w:val="kk-KZ"/>
              </w:rPr>
            </w:pPr>
            <w:r w:rsidRPr="00017296">
              <w:t xml:space="preserve">6 </w:t>
            </w:r>
            <w:proofErr w:type="spellStart"/>
            <w:r w:rsidRPr="00017296">
              <w:t>цик</w:t>
            </w:r>
            <w:proofErr w:type="spellEnd"/>
            <w:r w:rsidRPr="00017296">
              <w:rPr>
                <w:lang w:val="kk-KZ"/>
              </w:rPr>
              <w:t>л</w:t>
            </w:r>
          </w:p>
        </w:tc>
      </w:tr>
    </w:tbl>
    <w:p w14:paraId="5CE533FF" w14:textId="77777777" w:rsidR="00CC1071" w:rsidRPr="00017296" w:rsidRDefault="00CC1071" w:rsidP="00CC1071">
      <w:pPr>
        <w:jc w:val="center"/>
        <w:rPr>
          <w:lang w:eastAsia="en-US"/>
        </w:rPr>
      </w:pPr>
    </w:p>
    <w:p w14:paraId="6008A4E3" w14:textId="77777777" w:rsidR="00CC1071" w:rsidRPr="00017296" w:rsidRDefault="00CC1071" w:rsidP="00CC1071">
      <w:pPr>
        <w:jc w:val="center"/>
        <w:rPr>
          <w:b/>
          <w:bCs/>
        </w:rPr>
      </w:pPr>
      <w:proofErr w:type="spellStart"/>
      <w:r w:rsidRPr="00017296">
        <w:rPr>
          <w:b/>
          <w:bCs/>
        </w:rPr>
        <w:t>Ревматоид</w:t>
      </w:r>
      <w:proofErr w:type="spellEnd"/>
      <w:r w:rsidRPr="00017296">
        <w:rPr>
          <w:b/>
          <w:bCs/>
          <w:lang w:val="kk-KZ"/>
        </w:rPr>
        <w:t>ты</w:t>
      </w:r>
      <w:r w:rsidRPr="00017296">
        <w:rPr>
          <w:b/>
          <w:bCs/>
        </w:rPr>
        <w:t xml:space="preserve"> артрит</w:t>
      </w:r>
    </w:p>
    <w:p w14:paraId="46AA7DD8" w14:textId="77777777" w:rsidR="00CC1071" w:rsidRPr="00017296" w:rsidRDefault="00CC1071" w:rsidP="00CC1071">
      <w:pPr>
        <w:jc w:val="center"/>
      </w:pP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827"/>
        <w:gridCol w:w="2551"/>
      </w:tblGrid>
      <w:tr w:rsidR="00CC1071" w:rsidRPr="00017296" w14:paraId="22FA9134" w14:textId="77777777" w:rsidTr="00976EFF">
        <w:trPr>
          <w:trHeight w:val="711"/>
        </w:trPr>
        <w:tc>
          <w:tcPr>
            <w:tcW w:w="3006" w:type="dxa"/>
            <w:tcBorders>
              <w:top w:val="single" w:sz="4" w:space="0" w:color="auto"/>
              <w:left w:val="single" w:sz="4" w:space="0" w:color="auto"/>
              <w:bottom w:val="single" w:sz="4" w:space="0" w:color="auto"/>
              <w:right w:val="single" w:sz="4" w:space="0" w:color="auto"/>
            </w:tcBorders>
            <w:vAlign w:val="center"/>
            <w:hideMark/>
          </w:tcPr>
          <w:p w14:paraId="15AA9818" w14:textId="77777777" w:rsidR="00CC1071" w:rsidRPr="00017296" w:rsidRDefault="00CC1071" w:rsidP="00976EFF">
            <w:pPr>
              <w:jc w:val="center"/>
              <w:rPr>
                <w:i/>
                <w:lang w:val="kk-KZ"/>
              </w:rPr>
            </w:pPr>
            <w:r w:rsidRPr="00017296">
              <w:rPr>
                <w:i/>
                <w:lang w:val="kk-KZ"/>
              </w:rPr>
              <w:t>Ұсынылатын дозасы</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999547" w14:textId="77777777" w:rsidR="00CC1071" w:rsidRPr="00017296" w:rsidRDefault="00CC1071" w:rsidP="00976EFF">
            <w:pPr>
              <w:jc w:val="center"/>
              <w:rPr>
                <w:i/>
              </w:rPr>
            </w:pPr>
            <w:r w:rsidRPr="00017296">
              <w:rPr>
                <w:i/>
                <w:lang w:val="kk-KZ"/>
              </w:rPr>
              <w:t>Қажетті шарттар</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00A65A" w14:textId="77777777" w:rsidR="00CC1071" w:rsidRPr="00017296" w:rsidRDefault="00CC1071" w:rsidP="00976EFF">
            <w:pPr>
              <w:jc w:val="center"/>
              <w:rPr>
                <w:i/>
              </w:rPr>
            </w:pPr>
            <w:r w:rsidRPr="00017296">
              <w:rPr>
                <w:i/>
                <w:lang w:val="kk-KZ"/>
              </w:rPr>
              <w:t>Емнің ұзақтығы</w:t>
            </w:r>
          </w:p>
        </w:tc>
      </w:tr>
      <w:tr w:rsidR="00CC1071" w:rsidRPr="00B020E8" w14:paraId="77783FFD" w14:textId="77777777" w:rsidTr="00976EFF">
        <w:trPr>
          <w:trHeight w:val="1977"/>
        </w:trPr>
        <w:tc>
          <w:tcPr>
            <w:tcW w:w="3006" w:type="dxa"/>
            <w:tcBorders>
              <w:top w:val="single" w:sz="4" w:space="0" w:color="auto"/>
              <w:left w:val="single" w:sz="4" w:space="0" w:color="auto"/>
              <w:bottom w:val="single" w:sz="4" w:space="0" w:color="auto"/>
              <w:right w:val="single" w:sz="4" w:space="0" w:color="auto"/>
            </w:tcBorders>
            <w:vAlign w:val="center"/>
            <w:hideMark/>
          </w:tcPr>
          <w:p w14:paraId="01A14ED0" w14:textId="77777777" w:rsidR="00CC1071" w:rsidRPr="00017296" w:rsidRDefault="00CC1071" w:rsidP="00976EFF">
            <w:pPr>
              <w:jc w:val="center"/>
            </w:pPr>
            <w:r w:rsidRPr="00017296">
              <w:rPr>
                <w:lang w:val="kk-KZ"/>
              </w:rPr>
              <w:t>Бірінші инфузия вена ішіне 1000 мг дозада; қайталанған вена ішілік инфузия 1000 мг дозада 2 аптадан кейін орындалуы тиіс</w:t>
            </w:r>
          </w:p>
        </w:tc>
        <w:tc>
          <w:tcPr>
            <w:tcW w:w="3827" w:type="dxa"/>
            <w:tcBorders>
              <w:top w:val="single" w:sz="4" w:space="0" w:color="auto"/>
              <w:left w:val="single" w:sz="4" w:space="0" w:color="auto"/>
              <w:bottom w:val="single" w:sz="4" w:space="0" w:color="auto"/>
              <w:right w:val="single" w:sz="4" w:space="0" w:color="auto"/>
            </w:tcBorders>
            <w:vAlign w:val="center"/>
          </w:tcPr>
          <w:p w14:paraId="245929A7" w14:textId="77777777" w:rsidR="00CC1071" w:rsidRPr="00017296" w:rsidRDefault="00CC1071" w:rsidP="00976EFF">
            <w:pPr>
              <w:jc w:val="both"/>
              <w:rPr>
                <w:lang w:val="kk-KZ"/>
              </w:rPr>
            </w:pPr>
            <w:r w:rsidRPr="00017296">
              <w:rPr>
                <w:lang w:val="kk-KZ"/>
              </w:rPr>
              <w:t>Бұл мерзімдерде қайталап емдеуді аурудың қалдық белсенділігі сақталғанда ғана жүргізу керек, олай болмаса қайталап емдеуді  аурудың белсенділігі қайта жаңғырғанға дейін кейінге қалдыру керек.</w:t>
            </w:r>
          </w:p>
          <w:p w14:paraId="0B9FA5F8" w14:textId="77777777" w:rsidR="00CC1071" w:rsidRPr="00017296" w:rsidRDefault="00CC1071" w:rsidP="00976EFF">
            <w:pPr>
              <w:jc w:val="both"/>
              <w:rPr>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14:paraId="06AEBFDA" w14:textId="77777777" w:rsidR="00CC1071" w:rsidRPr="00017296" w:rsidRDefault="00CC1071" w:rsidP="00976EFF">
            <w:pPr>
              <w:jc w:val="both"/>
              <w:rPr>
                <w:lang w:val="kk-KZ"/>
              </w:rPr>
            </w:pPr>
            <w:r w:rsidRPr="00017296">
              <w:rPr>
                <w:lang w:val="kk-KZ"/>
              </w:rPr>
              <w:t xml:space="preserve">Одан арғы курстарды жүргізу қажеттілігі алдыңғы курстан кейін 24 апта өткен соң бағалануы керек. </w:t>
            </w:r>
          </w:p>
          <w:p w14:paraId="7902B21F" w14:textId="77777777" w:rsidR="00CC1071" w:rsidRPr="00017296" w:rsidRDefault="00CC1071" w:rsidP="00976EFF">
            <w:pPr>
              <w:rPr>
                <w:lang w:val="kk-KZ"/>
              </w:rPr>
            </w:pPr>
          </w:p>
        </w:tc>
      </w:tr>
    </w:tbl>
    <w:p w14:paraId="5B3BC4B8" w14:textId="77777777" w:rsidR="00CC1071" w:rsidRPr="00017296" w:rsidRDefault="00CC1071" w:rsidP="00CC1071">
      <w:pPr>
        <w:rPr>
          <w:lang w:val="kk-KZ" w:eastAsia="en-US"/>
        </w:rPr>
      </w:pPr>
    </w:p>
    <w:p w14:paraId="1EF6B1C5" w14:textId="77777777" w:rsidR="00CC1071" w:rsidRPr="00017296" w:rsidRDefault="00CC1071" w:rsidP="00CC1071">
      <w:pPr>
        <w:jc w:val="center"/>
        <w:rPr>
          <w:b/>
          <w:lang w:val="kk-KZ" w:eastAsia="ko-KR"/>
        </w:rPr>
      </w:pPr>
      <w:r w:rsidRPr="00017296">
        <w:rPr>
          <w:b/>
          <w:lang w:val="kk-KZ" w:eastAsia="ko-KR"/>
        </w:rPr>
        <w:lastRenderedPageBreak/>
        <w:t>Полиангиитпен гранулематоз және микроскопиялық полиангиит</w:t>
      </w:r>
    </w:p>
    <w:p w14:paraId="790E8DC2" w14:textId="77777777" w:rsidR="00CC1071" w:rsidRPr="00017296" w:rsidRDefault="00CC1071" w:rsidP="00CC1071">
      <w:pPr>
        <w:jc w:val="center"/>
        <w:rPr>
          <w:lang w:eastAsia="en-US"/>
        </w:rPr>
      </w:pPr>
    </w:p>
    <w:tbl>
      <w:tblPr>
        <w:tblW w:w="9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5091"/>
        <w:gridCol w:w="1254"/>
      </w:tblGrid>
      <w:tr w:rsidR="00CC1071" w:rsidRPr="00017296" w14:paraId="34FB3B94" w14:textId="77777777" w:rsidTr="00976EFF">
        <w:trPr>
          <w:trHeight w:val="854"/>
        </w:trPr>
        <w:tc>
          <w:tcPr>
            <w:tcW w:w="3116" w:type="dxa"/>
            <w:tcBorders>
              <w:top w:val="single" w:sz="4" w:space="0" w:color="auto"/>
              <w:left w:val="single" w:sz="4" w:space="0" w:color="auto"/>
              <w:bottom w:val="single" w:sz="4" w:space="0" w:color="auto"/>
              <w:right w:val="single" w:sz="4" w:space="0" w:color="auto"/>
            </w:tcBorders>
            <w:vAlign w:val="center"/>
            <w:hideMark/>
          </w:tcPr>
          <w:p w14:paraId="3E613859" w14:textId="77777777" w:rsidR="00CC1071" w:rsidRPr="00017296" w:rsidRDefault="00CC1071" w:rsidP="00976EFF">
            <w:pPr>
              <w:jc w:val="center"/>
              <w:rPr>
                <w:i/>
                <w:lang w:val="kk-KZ"/>
              </w:rPr>
            </w:pPr>
            <w:r w:rsidRPr="00017296">
              <w:rPr>
                <w:i/>
                <w:lang w:val="kk-KZ"/>
              </w:rPr>
              <w:t>Ұсынылатын дозасы</w:t>
            </w:r>
          </w:p>
        </w:tc>
        <w:tc>
          <w:tcPr>
            <w:tcW w:w="5098" w:type="dxa"/>
            <w:tcBorders>
              <w:top w:val="single" w:sz="4" w:space="0" w:color="auto"/>
              <w:left w:val="single" w:sz="4" w:space="0" w:color="auto"/>
              <w:bottom w:val="single" w:sz="4" w:space="0" w:color="auto"/>
              <w:right w:val="single" w:sz="4" w:space="0" w:color="auto"/>
            </w:tcBorders>
            <w:vAlign w:val="center"/>
            <w:hideMark/>
          </w:tcPr>
          <w:p w14:paraId="32BB8553" w14:textId="77777777" w:rsidR="00CC1071" w:rsidRPr="00017296" w:rsidRDefault="00CC1071" w:rsidP="00976EFF">
            <w:pPr>
              <w:jc w:val="center"/>
              <w:rPr>
                <w:i/>
              </w:rPr>
            </w:pPr>
            <w:r w:rsidRPr="00017296">
              <w:rPr>
                <w:i/>
                <w:lang w:val="kk-KZ"/>
              </w:rPr>
              <w:t>Қажетті шарттар</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EF69692" w14:textId="77777777" w:rsidR="00CC1071" w:rsidRPr="00017296" w:rsidRDefault="00CC1071" w:rsidP="00976EFF">
            <w:pPr>
              <w:jc w:val="center"/>
              <w:rPr>
                <w:i/>
              </w:rPr>
            </w:pPr>
            <w:r w:rsidRPr="00017296">
              <w:rPr>
                <w:i/>
                <w:lang w:val="kk-KZ"/>
              </w:rPr>
              <w:t>Емнің ұзақтығы</w:t>
            </w:r>
          </w:p>
        </w:tc>
      </w:tr>
      <w:tr w:rsidR="00CC1071" w:rsidRPr="00017296" w14:paraId="088E8EAD" w14:textId="77777777" w:rsidTr="00976EFF">
        <w:trPr>
          <w:trHeight w:val="623"/>
        </w:trPr>
        <w:tc>
          <w:tcPr>
            <w:tcW w:w="3116" w:type="dxa"/>
            <w:tcBorders>
              <w:top w:val="single" w:sz="4" w:space="0" w:color="auto"/>
              <w:left w:val="single" w:sz="4" w:space="0" w:color="auto"/>
              <w:bottom w:val="single" w:sz="4" w:space="0" w:color="auto"/>
              <w:right w:val="single" w:sz="4" w:space="0" w:color="auto"/>
            </w:tcBorders>
            <w:vAlign w:val="center"/>
            <w:hideMark/>
          </w:tcPr>
          <w:p w14:paraId="25295CC2" w14:textId="77777777" w:rsidR="00CC1071" w:rsidRPr="00017296" w:rsidRDefault="00CC1071" w:rsidP="00976EFF">
            <w:pPr>
              <w:jc w:val="center"/>
            </w:pPr>
            <w:r w:rsidRPr="00017296">
              <w:rPr>
                <w:lang w:val="kk-KZ"/>
              </w:rPr>
              <w:t>Дене бетінің ауданына 375 мг/м</w:t>
            </w:r>
            <w:r w:rsidRPr="00017296">
              <w:rPr>
                <w:vertAlign w:val="superscript"/>
                <w:lang w:val="kk-KZ"/>
              </w:rPr>
              <w:t>2</w:t>
            </w:r>
            <w:r w:rsidRPr="00017296">
              <w:rPr>
                <w:lang w:val="kk-KZ"/>
              </w:rPr>
              <w:t>, вена ішіне аптасына 1 рет төрт апта бойы (барлығы 4 инфузия)</w:t>
            </w:r>
          </w:p>
        </w:tc>
        <w:tc>
          <w:tcPr>
            <w:tcW w:w="5098" w:type="dxa"/>
            <w:tcBorders>
              <w:top w:val="single" w:sz="4" w:space="0" w:color="auto"/>
              <w:left w:val="single" w:sz="4" w:space="0" w:color="auto"/>
              <w:bottom w:val="single" w:sz="4" w:space="0" w:color="auto"/>
              <w:right w:val="single" w:sz="4" w:space="0" w:color="auto"/>
            </w:tcBorders>
            <w:vAlign w:val="center"/>
            <w:hideMark/>
          </w:tcPr>
          <w:p w14:paraId="3ED83699" w14:textId="77777777" w:rsidR="00CC1071" w:rsidRPr="00017296" w:rsidRDefault="00CC1071" w:rsidP="00976EFF">
            <w:pPr>
              <w:jc w:val="both"/>
            </w:pPr>
            <w:r w:rsidRPr="00017296">
              <w:rPr>
                <w:lang w:val="kk-KZ"/>
              </w:rPr>
              <w:t xml:space="preserve">Қажет болса </w:t>
            </w:r>
            <w:r w:rsidRPr="00017296">
              <w:rPr>
                <w:lang w:val="kk-KZ" w:eastAsia="ko-KR"/>
              </w:rPr>
              <w:t xml:space="preserve">полиангиитпен гранулематозы немесе микроскопиялық полиангииті бар пациенттерге </w:t>
            </w:r>
            <w:r w:rsidRPr="00017296">
              <w:rPr>
                <w:lang w:val="kk-KZ"/>
              </w:rPr>
              <w:t>Ритуксимаб препаратымен емдеу кезінде және емдеуден кейін пневмоцистік пневмонияның (P.jirovecii тудырған пневмонияның) дамуына қарсы профилактикалық шараларды жүргізу ұсынылады</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7B3674C" w14:textId="77777777" w:rsidR="00CC1071" w:rsidRPr="00017296" w:rsidRDefault="00CC1071" w:rsidP="00976EFF">
            <w:pPr>
              <w:jc w:val="center"/>
            </w:pPr>
            <w:r w:rsidRPr="00017296">
              <w:t>н/п</w:t>
            </w:r>
          </w:p>
        </w:tc>
      </w:tr>
    </w:tbl>
    <w:p w14:paraId="600441F0" w14:textId="77777777" w:rsidR="00CC1071" w:rsidRPr="00017296" w:rsidRDefault="00CC1071" w:rsidP="00CC1071">
      <w:pPr>
        <w:jc w:val="both"/>
        <w:rPr>
          <w:b/>
        </w:rPr>
      </w:pPr>
    </w:p>
    <w:p w14:paraId="440391AC" w14:textId="77777777" w:rsidR="009B6397" w:rsidRPr="00C71B68" w:rsidRDefault="009B6397" w:rsidP="009B6397">
      <w:pPr>
        <w:spacing w:line="259" w:lineRule="auto"/>
        <w:jc w:val="both"/>
        <w:rPr>
          <w:rFonts w:eastAsia="Calibri"/>
          <w:b/>
          <w:lang w:val="kk-KZ" w:eastAsia="en-US"/>
        </w:rPr>
      </w:pPr>
      <w:r w:rsidRPr="00C71B68">
        <w:rPr>
          <w:rFonts w:eastAsia="Calibri"/>
          <w:b/>
          <w:lang w:val="kk-KZ" w:eastAsia="en-US"/>
        </w:rPr>
        <w:t>Болжанатын жағымсыз реакциялар туралы хабарламалар</w:t>
      </w:r>
    </w:p>
    <w:p w14:paraId="57F85018" w14:textId="77777777" w:rsidR="009B6397" w:rsidRPr="00C71B68" w:rsidRDefault="009B6397" w:rsidP="009B6397">
      <w:pPr>
        <w:spacing w:line="259" w:lineRule="auto"/>
        <w:jc w:val="both"/>
        <w:rPr>
          <w:rFonts w:eastAsia="Calibri"/>
          <w:lang w:val="kk-KZ" w:eastAsia="en-US"/>
        </w:rPr>
      </w:pPr>
      <w:r w:rsidRPr="00C71B68">
        <w:rPr>
          <w:rFonts w:eastAsia="Calibri"/>
          <w:lang w:val="kk-KZ" w:eastAsia="en-US"/>
        </w:rPr>
        <w:t xml:space="preserve">Дәрілік препараттың «пайда – қауіп» арақатынасын үздіксіз мониторингтеуді қамтамасыз ету мақсатында дәрілік препаратты тіркеуден кейін күдік тудыратын жағымсыз реакциялар туралы хабарлау маңызды. Медициналық қызметкерлерге жағымсыз реакциялар туралы хабарламалар жинаудың ұлттық жүйесі арқылы дәрілік препараттың кез келген күдікті жағымсыз реакциялары туралы мәлімдеу кеңесі беріледі: </w:t>
      </w:r>
    </w:p>
    <w:p w14:paraId="6C259609" w14:textId="77777777" w:rsidR="009B6397" w:rsidRPr="00C71B68" w:rsidRDefault="009B6397" w:rsidP="009B6397">
      <w:pPr>
        <w:spacing w:line="259" w:lineRule="auto"/>
        <w:jc w:val="both"/>
        <w:rPr>
          <w:rFonts w:eastAsia="Calibri"/>
          <w:lang w:val="kk-KZ" w:eastAsia="en-US"/>
        </w:rPr>
      </w:pPr>
      <w:r w:rsidRPr="00C71B68">
        <w:rPr>
          <w:rFonts w:eastAsia="Calibri"/>
          <w:bCs/>
          <w:lang w:val="kk-KZ" w:eastAsia="en-US"/>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ШЖҚ РМК</w:t>
      </w:r>
    </w:p>
    <w:p w14:paraId="78F9D7FE" w14:textId="77777777" w:rsidR="009B6397" w:rsidRPr="00C71B68" w:rsidRDefault="009B6397" w:rsidP="009B6397">
      <w:pPr>
        <w:spacing w:line="259" w:lineRule="auto"/>
        <w:jc w:val="both"/>
        <w:rPr>
          <w:rFonts w:eastAsia="Calibri"/>
          <w:lang w:eastAsia="en-US"/>
        </w:rPr>
      </w:pPr>
      <w:r w:rsidRPr="00C71B68">
        <w:rPr>
          <w:rFonts w:eastAsia="Calibri"/>
          <w:lang w:eastAsia="en-US"/>
        </w:rPr>
        <w:t>http://www.ndda.kz, e-</w:t>
      </w:r>
      <w:proofErr w:type="spellStart"/>
      <w:r w:rsidRPr="00C71B68">
        <w:rPr>
          <w:rFonts w:eastAsia="Calibri"/>
          <w:lang w:eastAsia="en-US"/>
        </w:rPr>
        <w:t>mail</w:t>
      </w:r>
      <w:proofErr w:type="spellEnd"/>
      <w:r w:rsidRPr="00C71B68">
        <w:rPr>
          <w:rFonts w:eastAsia="Calibri"/>
          <w:lang w:eastAsia="en-US"/>
        </w:rPr>
        <w:t xml:space="preserve">: pdlc@dari.kz, телефон </w:t>
      </w:r>
      <w:proofErr w:type="spellStart"/>
      <w:r w:rsidRPr="00C71B68">
        <w:rPr>
          <w:rFonts w:eastAsia="Calibri"/>
          <w:lang w:eastAsia="en-US"/>
        </w:rPr>
        <w:t>нөмірі</w:t>
      </w:r>
      <w:proofErr w:type="spellEnd"/>
      <w:r w:rsidRPr="00C71B68">
        <w:rPr>
          <w:rFonts w:eastAsia="Calibri"/>
          <w:lang w:eastAsia="en-US"/>
        </w:rPr>
        <w:t xml:space="preserve"> 8 7172 78 98 28.</w:t>
      </w:r>
    </w:p>
    <w:p w14:paraId="23E02DE0" w14:textId="77777777" w:rsidR="009B6397" w:rsidRPr="00C71B68" w:rsidRDefault="009B6397" w:rsidP="009B6397">
      <w:pPr>
        <w:spacing w:line="259" w:lineRule="auto"/>
        <w:jc w:val="both"/>
        <w:rPr>
          <w:rFonts w:eastAsia="Calibri"/>
          <w:lang w:eastAsia="en-US"/>
        </w:rPr>
      </w:pPr>
    </w:p>
    <w:p w14:paraId="6A4CB4ED" w14:textId="77777777" w:rsidR="009B6397" w:rsidRPr="00317FC3" w:rsidRDefault="009B6397" w:rsidP="009B6397">
      <w:pPr>
        <w:spacing w:line="259" w:lineRule="auto"/>
        <w:jc w:val="both"/>
        <w:rPr>
          <w:rFonts w:eastAsia="Calibri"/>
          <w:lang w:val="kk-KZ" w:eastAsia="en-US"/>
        </w:rPr>
      </w:pPr>
      <w:r w:rsidRPr="00317FC3">
        <w:rPr>
          <w:rFonts w:eastAsia="Calibri"/>
          <w:lang w:val="kk-KZ" w:eastAsia="en-US"/>
        </w:rPr>
        <w:t>«ҚФК» ЖШС компаниясы өндірген дәрілік препараттарды пайдалану кезінде туындаған жағымсыз құбылыстар туралы «ҚФК» ЖШС Фармакоқадағалау бөліміне хабарлау керек:</w:t>
      </w:r>
    </w:p>
    <w:p w14:paraId="1BC5DE0A" w14:textId="77777777" w:rsidR="009B6397" w:rsidRPr="00317FC3" w:rsidRDefault="009B6397" w:rsidP="009B6397">
      <w:pPr>
        <w:spacing w:line="259" w:lineRule="auto"/>
        <w:jc w:val="both"/>
        <w:rPr>
          <w:rFonts w:eastAsia="Calibri"/>
          <w:lang w:val="kk-KZ" w:eastAsia="en-US"/>
        </w:rPr>
      </w:pPr>
      <w:r w:rsidRPr="00317FC3">
        <w:rPr>
          <w:rFonts w:eastAsia="Calibri"/>
          <w:lang w:val="kk-KZ" w:eastAsia="en-US"/>
        </w:rPr>
        <w:t>«Қарағанды фармацевтикалық кешені» ЖШС Қазақстан Республикаcы</w:t>
      </w:r>
    </w:p>
    <w:p w14:paraId="10E3D55E" w14:textId="77777777" w:rsidR="009B6397" w:rsidRPr="00C71B68" w:rsidRDefault="009B6397" w:rsidP="009B6397">
      <w:pPr>
        <w:spacing w:line="259" w:lineRule="auto"/>
        <w:jc w:val="both"/>
        <w:rPr>
          <w:rFonts w:eastAsia="Calibri"/>
          <w:lang w:eastAsia="en-US"/>
        </w:rPr>
      </w:pPr>
      <w:r w:rsidRPr="00C71B68">
        <w:rPr>
          <w:rFonts w:eastAsia="Calibri"/>
          <w:lang w:eastAsia="en-US"/>
        </w:rPr>
        <w:t xml:space="preserve">100009, </w:t>
      </w:r>
      <w:proofErr w:type="spellStart"/>
      <w:r w:rsidRPr="00C71B68">
        <w:rPr>
          <w:rFonts w:eastAsia="Calibri"/>
          <w:lang w:eastAsia="en-US"/>
        </w:rPr>
        <w:t>Қарағанды</w:t>
      </w:r>
      <w:proofErr w:type="spellEnd"/>
      <w:r w:rsidRPr="00C71B68">
        <w:rPr>
          <w:rFonts w:eastAsia="Calibri"/>
          <w:lang w:eastAsia="en-US"/>
        </w:rPr>
        <w:t xml:space="preserve"> қ., </w:t>
      </w:r>
      <w:proofErr w:type="spellStart"/>
      <w:r w:rsidRPr="00C71B68">
        <w:rPr>
          <w:rFonts w:eastAsia="Calibri"/>
          <w:lang w:eastAsia="en-US"/>
        </w:rPr>
        <w:t>Ғазалиев</w:t>
      </w:r>
      <w:proofErr w:type="spellEnd"/>
      <w:r w:rsidRPr="00C71B68">
        <w:rPr>
          <w:rFonts w:eastAsia="Calibri"/>
          <w:lang w:eastAsia="en-US"/>
        </w:rPr>
        <w:t xml:space="preserve"> к-</w:t>
      </w:r>
      <w:proofErr w:type="spellStart"/>
      <w:r w:rsidRPr="00C71B68">
        <w:rPr>
          <w:rFonts w:eastAsia="Calibri"/>
          <w:lang w:eastAsia="en-US"/>
        </w:rPr>
        <w:t>сі</w:t>
      </w:r>
      <w:proofErr w:type="spellEnd"/>
      <w:r w:rsidRPr="00C71B68">
        <w:rPr>
          <w:rFonts w:eastAsia="Calibri"/>
          <w:lang w:eastAsia="en-US"/>
        </w:rPr>
        <w:t xml:space="preserve">, 16 </w:t>
      </w:r>
      <w:r w:rsidRPr="00C71B68">
        <w:rPr>
          <w:rFonts w:eastAsia="Calibri"/>
          <w:lang w:val="kk-KZ" w:eastAsia="en-US"/>
        </w:rPr>
        <w:t>құр</w:t>
      </w:r>
      <w:r w:rsidRPr="00C71B68">
        <w:rPr>
          <w:rFonts w:eastAsia="Calibri"/>
          <w:lang w:eastAsia="en-US"/>
        </w:rPr>
        <w:t>.</w:t>
      </w:r>
    </w:p>
    <w:p w14:paraId="0F7D1F50" w14:textId="77777777" w:rsidR="009B6397" w:rsidRPr="00C71B68" w:rsidRDefault="009B6397" w:rsidP="009B6397">
      <w:pPr>
        <w:spacing w:line="259" w:lineRule="auto"/>
        <w:jc w:val="both"/>
        <w:rPr>
          <w:rFonts w:eastAsia="Calibri"/>
          <w:lang w:eastAsia="en-US"/>
        </w:rPr>
      </w:pPr>
      <w:r w:rsidRPr="00C71B68">
        <w:rPr>
          <w:rFonts w:eastAsia="Calibri"/>
          <w:lang w:eastAsia="en-US"/>
        </w:rPr>
        <w:t xml:space="preserve">Телефон </w:t>
      </w:r>
      <w:r w:rsidRPr="00C71B68">
        <w:rPr>
          <w:rFonts w:eastAsia="Calibri"/>
          <w:lang w:val="kk-KZ" w:eastAsia="en-US"/>
        </w:rPr>
        <w:t>нөмірі</w:t>
      </w:r>
      <w:r w:rsidRPr="00C71B68">
        <w:rPr>
          <w:rFonts w:eastAsia="Calibri"/>
          <w:lang w:eastAsia="en-US"/>
        </w:rPr>
        <w:t xml:space="preserve"> (7212) 90-80-43 факс (7212) 90-65-49</w:t>
      </w:r>
    </w:p>
    <w:p w14:paraId="4E270153" w14:textId="77777777" w:rsidR="009B6397" w:rsidRPr="00C71B68" w:rsidRDefault="009B6397" w:rsidP="009B6397">
      <w:pPr>
        <w:spacing w:line="259" w:lineRule="auto"/>
        <w:jc w:val="both"/>
        <w:rPr>
          <w:rFonts w:eastAsia="Calibri"/>
          <w:lang w:eastAsia="en-US"/>
        </w:rPr>
      </w:pPr>
      <w:proofErr w:type="spellStart"/>
      <w:r w:rsidRPr="00C71B68">
        <w:rPr>
          <w:rFonts w:eastAsia="Calibri"/>
          <w:lang w:eastAsia="en-US"/>
        </w:rPr>
        <w:t>Электрондық</w:t>
      </w:r>
      <w:proofErr w:type="spellEnd"/>
      <w:r w:rsidRPr="00C71B68">
        <w:rPr>
          <w:rFonts w:eastAsia="Calibri"/>
          <w:lang w:eastAsia="en-US"/>
        </w:rPr>
        <w:t xml:space="preserve"> </w:t>
      </w:r>
      <w:proofErr w:type="spellStart"/>
      <w:r w:rsidRPr="00C71B68">
        <w:rPr>
          <w:rFonts w:eastAsia="Calibri"/>
          <w:lang w:eastAsia="en-US"/>
        </w:rPr>
        <w:t>пошта</w:t>
      </w:r>
      <w:proofErr w:type="spellEnd"/>
      <w:r w:rsidRPr="00C71B68">
        <w:rPr>
          <w:rFonts w:eastAsia="Calibri"/>
          <w:lang w:eastAsia="en-US"/>
        </w:rPr>
        <w:t xml:space="preserve"> </w:t>
      </w:r>
      <w:proofErr w:type="spellStart"/>
      <w:r w:rsidRPr="00C71B68">
        <w:rPr>
          <w:rFonts w:eastAsia="Calibri"/>
          <w:lang w:eastAsia="en-US"/>
        </w:rPr>
        <w:t>мекенжайы</w:t>
      </w:r>
      <w:proofErr w:type="spellEnd"/>
      <w:r w:rsidRPr="00C71B68">
        <w:rPr>
          <w:rFonts w:eastAsia="Calibri"/>
          <w:lang w:eastAsia="en-US"/>
        </w:rPr>
        <w:t xml:space="preserve"> medinfo@kphk.kz.</w:t>
      </w:r>
    </w:p>
    <w:p w14:paraId="496AAF02" w14:textId="77777777" w:rsidR="009B6397" w:rsidRPr="00C71B68" w:rsidRDefault="009B6397" w:rsidP="009B6397">
      <w:pPr>
        <w:spacing w:line="259" w:lineRule="auto"/>
        <w:jc w:val="both"/>
        <w:rPr>
          <w:rFonts w:eastAsia="Calibri"/>
          <w:lang w:eastAsia="en-US"/>
        </w:rPr>
      </w:pPr>
    </w:p>
    <w:p w14:paraId="1CC8C21C" w14:textId="77777777" w:rsidR="009B6397" w:rsidRPr="00C71B68" w:rsidRDefault="009B6397" w:rsidP="009B6397">
      <w:pPr>
        <w:spacing w:line="259" w:lineRule="auto"/>
        <w:jc w:val="both"/>
        <w:rPr>
          <w:rFonts w:eastAsia="Calibri"/>
          <w:b/>
          <w:lang w:eastAsia="en-US"/>
        </w:rPr>
      </w:pPr>
      <w:proofErr w:type="spellStart"/>
      <w:r w:rsidRPr="00C71B68">
        <w:rPr>
          <w:rFonts w:eastAsia="Calibri"/>
          <w:b/>
          <w:lang w:eastAsia="en-US"/>
        </w:rPr>
        <w:t>Мекен-жайы</w:t>
      </w:r>
      <w:proofErr w:type="spellEnd"/>
      <w:r w:rsidRPr="00C71B68">
        <w:rPr>
          <w:rFonts w:eastAsia="Calibri"/>
          <w:b/>
          <w:lang w:eastAsia="en-US"/>
        </w:rPr>
        <w:t xml:space="preserve"> </w:t>
      </w:r>
      <w:proofErr w:type="spellStart"/>
      <w:r w:rsidRPr="00C71B68">
        <w:rPr>
          <w:rFonts w:eastAsia="Calibri"/>
          <w:b/>
          <w:lang w:eastAsia="en-US"/>
        </w:rPr>
        <w:t>және</w:t>
      </w:r>
      <w:proofErr w:type="spellEnd"/>
      <w:r w:rsidRPr="00C71B68">
        <w:rPr>
          <w:rFonts w:eastAsia="Calibri"/>
          <w:b/>
          <w:lang w:eastAsia="en-US"/>
        </w:rPr>
        <w:t xml:space="preserve"> телефон </w:t>
      </w:r>
      <w:proofErr w:type="spellStart"/>
      <w:r w:rsidRPr="00C71B68">
        <w:rPr>
          <w:rFonts w:eastAsia="Calibri"/>
          <w:b/>
          <w:lang w:eastAsia="en-US"/>
        </w:rPr>
        <w:t>нөмірі</w:t>
      </w:r>
      <w:proofErr w:type="spellEnd"/>
      <w:r w:rsidRPr="00C71B68">
        <w:rPr>
          <w:rFonts w:eastAsia="Calibri"/>
          <w:b/>
          <w:lang w:eastAsia="en-US"/>
        </w:rPr>
        <w:t xml:space="preserve"> «</w:t>
      </w:r>
      <w:r w:rsidRPr="00C71B68">
        <w:rPr>
          <w:rFonts w:eastAsia="Calibri"/>
          <w:b/>
          <w:lang w:val="kk-KZ" w:eastAsia="en-US"/>
        </w:rPr>
        <w:t>Қ</w:t>
      </w:r>
      <w:r w:rsidRPr="00C71B68">
        <w:rPr>
          <w:rFonts w:eastAsia="Calibri"/>
          <w:b/>
          <w:lang w:eastAsia="en-US"/>
        </w:rPr>
        <w:t>ФК»</w:t>
      </w:r>
      <w:r w:rsidRPr="00C71B68">
        <w:rPr>
          <w:rFonts w:eastAsia="Calibri"/>
          <w:lang w:eastAsia="en-US"/>
        </w:rPr>
        <w:t xml:space="preserve"> </w:t>
      </w:r>
      <w:r w:rsidRPr="00C71B68">
        <w:rPr>
          <w:rFonts w:eastAsia="Calibri"/>
          <w:b/>
          <w:lang w:eastAsia="en-US"/>
        </w:rPr>
        <w:t>ЖШС</w:t>
      </w:r>
    </w:p>
    <w:p w14:paraId="5CCB729A" w14:textId="77777777" w:rsidR="009B6397" w:rsidRPr="00C71B68" w:rsidRDefault="009B6397" w:rsidP="009B6397">
      <w:pPr>
        <w:spacing w:line="259" w:lineRule="auto"/>
        <w:jc w:val="both"/>
        <w:rPr>
          <w:rFonts w:eastAsia="Calibri"/>
          <w:lang w:eastAsia="en-US"/>
        </w:rPr>
      </w:pPr>
      <w:proofErr w:type="spellStart"/>
      <w:r w:rsidRPr="00317FC3">
        <w:rPr>
          <w:rFonts w:eastAsia="Calibri"/>
          <w:lang w:eastAsia="en-US"/>
        </w:rPr>
        <w:t>Егер</w:t>
      </w:r>
      <w:proofErr w:type="spellEnd"/>
      <w:r w:rsidRPr="00317FC3">
        <w:rPr>
          <w:rFonts w:eastAsia="Calibri"/>
          <w:lang w:eastAsia="en-US"/>
        </w:rPr>
        <w:t xml:space="preserve"> </w:t>
      </w:r>
      <w:proofErr w:type="spellStart"/>
      <w:r w:rsidRPr="00317FC3">
        <w:rPr>
          <w:rFonts w:eastAsia="Calibri"/>
          <w:lang w:eastAsia="en-US"/>
        </w:rPr>
        <w:t>Сізде</w:t>
      </w:r>
      <w:proofErr w:type="spellEnd"/>
      <w:r w:rsidRPr="00317FC3">
        <w:rPr>
          <w:rFonts w:eastAsia="Calibri"/>
          <w:lang w:eastAsia="en-US"/>
        </w:rPr>
        <w:t xml:space="preserve"> </w:t>
      </w:r>
      <w:proofErr w:type="spellStart"/>
      <w:r w:rsidRPr="00317FC3">
        <w:rPr>
          <w:rFonts w:eastAsia="Calibri"/>
          <w:lang w:eastAsia="en-US"/>
        </w:rPr>
        <w:t>қандай</w:t>
      </w:r>
      <w:proofErr w:type="spellEnd"/>
      <w:r w:rsidRPr="00317FC3">
        <w:rPr>
          <w:rFonts w:eastAsia="Calibri"/>
          <w:lang w:eastAsia="en-US"/>
        </w:rPr>
        <w:t xml:space="preserve"> да </w:t>
      </w:r>
      <w:proofErr w:type="spellStart"/>
      <w:r w:rsidRPr="00317FC3">
        <w:rPr>
          <w:rFonts w:eastAsia="Calibri"/>
          <w:lang w:eastAsia="en-US"/>
        </w:rPr>
        <w:t>бір</w:t>
      </w:r>
      <w:proofErr w:type="spellEnd"/>
      <w:r w:rsidRPr="00317FC3">
        <w:rPr>
          <w:rFonts w:eastAsia="Calibri"/>
          <w:lang w:eastAsia="en-US"/>
        </w:rPr>
        <w:t xml:space="preserve"> </w:t>
      </w:r>
      <w:proofErr w:type="spellStart"/>
      <w:r w:rsidRPr="00317FC3">
        <w:rPr>
          <w:rFonts w:eastAsia="Calibri"/>
          <w:lang w:eastAsia="en-US"/>
        </w:rPr>
        <w:t>сұрақтар</w:t>
      </w:r>
      <w:proofErr w:type="spellEnd"/>
      <w:r w:rsidRPr="00317FC3">
        <w:rPr>
          <w:rFonts w:eastAsia="Calibri"/>
          <w:lang w:eastAsia="en-US"/>
        </w:rPr>
        <w:t xml:space="preserve"> </w:t>
      </w:r>
      <w:proofErr w:type="spellStart"/>
      <w:r w:rsidRPr="00317FC3">
        <w:rPr>
          <w:rFonts w:eastAsia="Calibri"/>
          <w:lang w:eastAsia="en-US"/>
        </w:rPr>
        <w:t>туындаса</w:t>
      </w:r>
      <w:proofErr w:type="spellEnd"/>
      <w:r w:rsidRPr="00317FC3">
        <w:rPr>
          <w:rFonts w:eastAsia="Calibri"/>
          <w:lang w:eastAsia="en-US"/>
        </w:rPr>
        <w:t xml:space="preserve"> </w:t>
      </w:r>
      <w:proofErr w:type="spellStart"/>
      <w:r w:rsidRPr="00317FC3">
        <w:rPr>
          <w:rFonts w:eastAsia="Calibri"/>
          <w:lang w:eastAsia="en-US"/>
        </w:rPr>
        <w:t>немесе</w:t>
      </w:r>
      <w:proofErr w:type="spellEnd"/>
      <w:r w:rsidRPr="00317FC3">
        <w:rPr>
          <w:rFonts w:eastAsia="Calibri"/>
          <w:lang w:eastAsia="en-US"/>
        </w:rPr>
        <w:t xml:space="preserve"> </w:t>
      </w:r>
      <w:proofErr w:type="spellStart"/>
      <w:r w:rsidRPr="00317FC3">
        <w:rPr>
          <w:rFonts w:eastAsia="Calibri"/>
          <w:lang w:eastAsia="en-US"/>
        </w:rPr>
        <w:t>қосымша</w:t>
      </w:r>
      <w:proofErr w:type="spellEnd"/>
      <w:r w:rsidRPr="00317FC3">
        <w:rPr>
          <w:rFonts w:eastAsia="Calibri"/>
          <w:lang w:eastAsia="en-US"/>
        </w:rPr>
        <w:t xml:space="preserve"> </w:t>
      </w:r>
      <w:proofErr w:type="spellStart"/>
      <w:r w:rsidRPr="00317FC3">
        <w:rPr>
          <w:rFonts w:eastAsia="Calibri"/>
          <w:lang w:eastAsia="en-US"/>
        </w:rPr>
        <w:t>ақпарат</w:t>
      </w:r>
      <w:proofErr w:type="spellEnd"/>
      <w:r w:rsidRPr="00317FC3">
        <w:rPr>
          <w:rFonts w:eastAsia="Calibri"/>
          <w:lang w:eastAsia="en-US"/>
        </w:rPr>
        <w:t xml:space="preserve"> </w:t>
      </w:r>
      <w:proofErr w:type="spellStart"/>
      <w:r w:rsidRPr="00317FC3">
        <w:rPr>
          <w:rFonts w:eastAsia="Calibri"/>
          <w:lang w:eastAsia="en-US"/>
        </w:rPr>
        <w:t>қажет</w:t>
      </w:r>
      <w:proofErr w:type="spellEnd"/>
      <w:r w:rsidRPr="00317FC3">
        <w:rPr>
          <w:rFonts w:eastAsia="Calibri"/>
          <w:lang w:eastAsia="en-US"/>
        </w:rPr>
        <w:t xml:space="preserve"> </w:t>
      </w:r>
      <w:proofErr w:type="spellStart"/>
      <w:r w:rsidRPr="00317FC3">
        <w:rPr>
          <w:rFonts w:eastAsia="Calibri"/>
          <w:lang w:eastAsia="en-US"/>
        </w:rPr>
        <w:t>болса</w:t>
      </w:r>
      <w:proofErr w:type="spellEnd"/>
      <w:r w:rsidRPr="00317FC3">
        <w:rPr>
          <w:rFonts w:eastAsia="Calibri"/>
          <w:lang w:eastAsia="en-US"/>
        </w:rPr>
        <w:t xml:space="preserve">, </w:t>
      </w:r>
      <w:proofErr w:type="spellStart"/>
      <w:r w:rsidRPr="00317FC3">
        <w:rPr>
          <w:rFonts w:eastAsia="Calibri"/>
          <w:lang w:eastAsia="en-US"/>
        </w:rPr>
        <w:t>Фармакоқадағалау</w:t>
      </w:r>
      <w:proofErr w:type="spellEnd"/>
      <w:r w:rsidRPr="00317FC3">
        <w:rPr>
          <w:rFonts w:eastAsia="Calibri"/>
          <w:lang w:eastAsia="en-US"/>
        </w:rPr>
        <w:t xml:space="preserve"> </w:t>
      </w:r>
      <w:proofErr w:type="spellStart"/>
      <w:r w:rsidRPr="00317FC3">
        <w:rPr>
          <w:rFonts w:eastAsia="Calibri"/>
          <w:lang w:eastAsia="en-US"/>
        </w:rPr>
        <w:t>бөліміне</w:t>
      </w:r>
      <w:proofErr w:type="spellEnd"/>
      <w:r w:rsidRPr="00317FC3">
        <w:rPr>
          <w:rFonts w:eastAsia="Calibri"/>
          <w:lang w:eastAsia="en-US"/>
        </w:rPr>
        <w:t xml:space="preserve"> </w:t>
      </w:r>
      <w:proofErr w:type="spellStart"/>
      <w:r w:rsidRPr="00317FC3">
        <w:rPr>
          <w:rFonts w:eastAsia="Calibri"/>
          <w:lang w:eastAsia="en-US"/>
        </w:rPr>
        <w:t>мына</w:t>
      </w:r>
      <w:proofErr w:type="spellEnd"/>
      <w:r w:rsidRPr="00317FC3">
        <w:rPr>
          <w:rFonts w:eastAsia="Calibri"/>
          <w:lang w:eastAsia="en-US"/>
        </w:rPr>
        <w:t xml:space="preserve"> </w:t>
      </w:r>
      <w:proofErr w:type="spellStart"/>
      <w:r w:rsidRPr="00317FC3">
        <w:rPr>
          <w:rFonts w:eastAsia="Calibri"/>
          <w:lang w:eastAsia="en-US"/>
        </w:rPr>
        <w:t>мекенжай</w:t>
      </w:r>
      <w:proofErr w:type="spellEnd"/>
      <w:r w:rsidRPr="00317FC3">
        <w:rPr>
          <w:rFonts w:eastAsia="Calibri"/>
          <w:lang w:eastAsia="en-US"/>
        </w:rPr>
        <w:t xml:space="preserve"> </w:t>
      </w:r>
      <w:proofErr w:type="spellStart"/>
      <w:r w:rsidRPr="00317FC3">
        <w:rPr>
          <w:rFonts w:eastAsia="Calibri"/>
          <w:lang w:eastAsia="en-US"/>
        </w:rPr>
        <w:t>бойынша</w:t>
      </w:r>
      <w:proofErr w:type="spellEnd"/>
      <w:r w:rsidRPr="00317FC3">
        <w:rPr>
          <w:rFonts w:eastAsia="Calibri"/>
          <w:lang w:eastAsia="en-US"/>
        </w:rPr>
        <w:t xml:space="preserve"> </w:t>
      </w:r>
      <w:proofErr w:type="spellStart"/>
      <w:r w:rsidRPr="00317FC3">
        <w:rPr>
          <w:rFonts w:eastAsia="Calibri"/>
          <w:lang w:eastAsia="en-US"/>
        </w:rPr>
        <w:t>хабарласуыңызға</w:t>
      </w:r>
      <w:proofErr w:type="spellEnd"/>
      <w:r w:rsidRPr="00317FC3">
        <w:rPr>
          <w:rFonts w:eastAsia="Calibri"/>
          <w:lang w:eastAsia="en-US"/>
        </w:rPr>
        <w:t xml:space="preserve"> </w:t>
      </w:r>
      <w:proofErr w:type="spellStart"/>
      <w:r w:rsidRPr="00317FC3">
        <w:rPr>
          <w:rFonts w:eastAsia="Calibri"/>
          <w:lang w:eastAsia="en-US"/>
        </w:rPr>
        <w:t>болады</w:t>
      </w:r>
      <w:proofErr w:type="spellEnd"/>
      <w:r w:rsidRPr="00317FC3">
        <w:rPr>
          <w:rFonts w:eastAsia="Calibri"/>
          <w:lang w:eastAsia="en-US"/>
        </w:rPr>
        <w:t xml:space="preserve">: </w:t>
      </w:r>
      <w:r w:rsidRPr="00C71B68">
        <w:rPr>
          <w:rFonts w:eastAsia="Calibri"/>
          <w:lang w:eastAsia="en-US"/>
        </w:rPr>
        <w:t>«</w:t>
      </w:r>
      <w:proofErr w:type="spellStart"/>
      <w:r w:rsidRPr="00C71B68">
        <w:rPr>
          <w:rFonts w:eastAsia="Calibri"/>
          <w:lang w:eastAsia="en-US"/>
        </w:rPr>
        <w:t>Қарағанды</w:t>
      </w:r>
      <w:proofErr w:type="spellEnd"/>
      <w:r w:rsidRPr="00C71B68">
        <w:rPr>
          <w:rFonts w:eastAsia="Calibri"/>
          <w:lang w:eastAsia="en-US"/>
        </w:rPr>
        <w:t xml:space="preserve"> </w:t>
      </w:r>
      <w:proofErr w:type="spellStart"/>
      <w:r w:rsidRPr="00C71B68">
        <w:rPr>
          <w:rFonts w:eastAsia="Calibri"/>
          <w:lang w:eastAsia="en-US"/>
        </w:rPr>
        <w:t>фармацевтикалық</w:t>
      </w:r>
      <w:proofErr w:type="spellEnd"/>
      <w:r w:rsidRPr="00C71B68">
        <w:rPr>
          <w:rFonts w:eastAsia="Calibri"/>
          <w:lang w:eastAsia="en-US"/>
        </w:rPr>
        <w:t xml:space="preserve"> </w:t>
      </w:r>
      <w:proofErr w:type="spellStart"/>
      <w:r w:rsidRPr="00C71B68">
        <w:rPr>
          <w:rFonts w:eastAsia="Calibri"/>
          <w:lang w:eastAsia="en-US"/>
        </w:rPr>
        <w:t>кешені</w:t>
      </w:r>
      <w:proofErr w:type="spellEnd"/>
      <w:r w:rsidRPr="00C71B68">
        <w:rPr>
          <w:rFonts w:eastAsia="Calibri"/>
          <w:lang w:eastAsia="en-US"/>
        </w:rPr>
        <w:t xml:space="preserve">» ЖШС </w:t>
      </w:r>
      <w:proofErr w:type="spellStart"/>
      <w:r w:rsidRPr="00C71B68">
        <w:rPr>
          <w:rFonts w:eastAsia="Calibri"/>
          <w:lang w:eastAsia="en-US"/>
        </w:rPr>
        <w:t>Қазақстан</w:t>
      </w:r>
      <w:proofErr w:type="spellEnd"/>
      <w:r w:rsidRPr="00C71B68">
        <w:rPr>
          <w:rFonts w:eastAsia="Calibri"/>
          <w:lang w:eastAsia="en-US"/>
        </w:rPr>
        <w:t xml:space="preserve"> </w:t>
      </w:r>
      <w:proofErr w:type="spellStart"/>
      <w:r w:rsidRPr="00C71B68">
        <w:rPr>
          <w:rFonts w:eastAsia="Calibri"/>
          <w:lang w:eastAsia="en-US"/>
        </w:rPr>
        <w:t>Республикаcы</w:t>
      </w:r>
      <w:proofErr w:type="spellEnd"/>
    </w:p>
    <w:p w14:paraId="03F87443" w14:textId="77777777" w:rsidR="009B6397" w:rsidRPr="00C71B68" w:rsidRDefault="009B6397" w:rsidP="009B6397">
      <w:pPr>
        <w:spacing w:line="259" w:lineRule="auto"/>
        <w:jc w:val="both"/>
        <w:rPr>
          <w:rFonts w:eastAsia="Calibri"/>
          <w:lang w:eastAsia="en-US"/>
        </w:rPr>
      </w:pPr>
      <w:r w:rsidRPr="00C71B68">
        <w:rPr>
          <w:rFonts w:eastAsia="Calibri"/>
          <w:lang w:eastAsia="en-US"/>
        </w:rPr>
        <w:t xml:space="preserve">100009, </w:t>
      </w:r>
      <w:proofErr w:type="spellStart"/>
      <w:r w:rsidRPr="00C71B68">
        <w:rPr>
          <w:rFonts w:eastAsia="Calibri"/>
          <w:lang w:eastAsia="en-US"/>
        </w:rPr>
        <w:t>Қарағанды</w:t>
      </w:r>
      <w:proofErr w:type="spellEnd"/>
      <w:r w:rsidRPr="00C71B68">
        <w:rPr>
          <w:rFonts w:eastAsia="Calibri"/>
          <w:lang w:eastAsia="en-US"/>
        </w:rPr>
        <w:t xml:space="preserve"> қ., </w:t>
      </w:r>
      <w:proofErr w:type="spellStart"/>
      <w:r w:rsidRPr="00C71B68">
        <w:rPr>
          <w:rFonts w:eastAsia="Calibri"/>
          <w:lang w:eastAsia="en-US"/>
        </w:rPr>
        <w:t>Ғазалиев</w:t>
      </w:r>
      <w:proofErr w:type="spellEnd"/>
      <w:r w:rsidRPr="00C71B68">
        <w:rPr>
          <w:rFonts w:eastAsia="Calibri"/>
          <w:lang w:eastAsia="en-US"/>
        </w:rPr>
        <w:t xml:space="preserve"> к-</w:t>
      </w:r>
      <w:proofErr w:type="spellStart"/>
      <w:r w:rsidRPr="00C71B68">
        <w:rPr>
          <w:rFonts w:eastAsia="Calibri"/>
          <w:lang w:eastAsia="en-US"/>
        </w:rPr>
        <w:t>сі</w:t>
      </w:r>
      <w:proofErr w:type="spellEnd"/>
      <w:r w:rsidRPr="00C71B68">
        <w:rPr>
          <w:rFonts w:eastAsia="Calibri"/>
          <w:lang w:eastAsia="en-US"/>
        </w:rPr>
        <w:t xml:space="preserve">, 16 </w:t>
      </w:r>
      <w:proofErr w:type="spellStart"/>
      <w:r w:rsidRPr="00C71B68">
        <w:rPr>
          <w:rFonts w:eastAsia="Calibri"/>
          <w:lang w:eastAsia="en-US"/>
        </w:rPr>
        <w:t>құр</w:t>
      </w:r>
      <w:proofErr w:type="spellEnd"/>
      <w:r w:rsidRPr="00C71B68">
        <w:rPr>
          <w:rFonts w:eastAsia="Calibri"/>
          <w:lang w:eastAsia="en-US"/>
        </w:rPr>
        <w:t>.</w:t>
      </w:r>
    </w:p>
    <w:p w14:paraId="6D90DA8C" w14:textId="77777777" w:rsidR="009B6397" w:rsidRPr="00C71B68" w:rsidRDefault="009B6397" w:rsidP="009B6397">
      <w:pPr>
        <w:spacing w:line="259" w:lineRule="auto"/>
        <w:jc w:val="both"/>
        <w:rPr>
          <w:rFonts w:eastAsia="Calibri"/>
          <w:lang w:eastAsia="en-US"/>
        </w:rPr>
      </w:pPr>
      <w:r w:rsidRPr="00C71B68">
        <w:rPr>
          <w:rFonts w:eastAsia="Calibri"/>
          <w:lang w:eastAsia="en-US"/>
        </w:rPr>
        <w:t xml:space="preserve">Телефон </w:t>
      </w:r>
      <w:proofErr w:type="spellStart"/>
      <w:r w:rsidRPr="00C71B68">
        <w:rPr>
          <w:rFonts w:eastAsia="Calibri"/>
          <w:lang w:eastAsia="en-US"/>
        </w:rPr>
        <w:t>нөмірі</w:t>
      </w:r>
      <w:proofErr w:type="spellEnd"/>
      <w:r w:rsidRPr="00C71B68">
        <w:rPr>
          <w:rFonts w:eastAsia="Calibri"/>
          <w:lang w:eastAsia="en-US"/>
        </w:rPr>
        <w:t xml:space="preserve"> (7212) 90-80-43 факс (7212) 90-65-49</w:t>
      </w:r>
    </w:p>
    <w:p w14:paraId="691D0D24" w14:textId="77777777" w:rsidR="009B6397" w:rsidRPr="00C71B68" w:rsidRDefault="009B6397" w:rsidP="009B6397">
      <w:pPr>
        <w:spacing w:line="259" w:lineRule="auto"/>
        <w:jc w:val="both"/>
        <w:rPr>
          <w:rFonts w:eastAsia="Calibri"/>
          <w:lang w:eastAsia="en-US"/>
        </w:rPr>
      </w:pPr>
      <w:proofErr w:type="spellStart"/>
      <w:r w:rsidRPr="00C71B68">
        <w:rPr>
          <w:rFonts w:eastAsia="Calibri"/>
          <w:lang w:eastAsia="en-US"/>
        </w:rPr>
        <w:t>Электрондық</w:t>
      </w:r>
      <w:proofErr w:type="spellEnd"/>
      <w:r w:rsidRPr="00C71B68">
        <w:rPr>
          <w:rFonts w:eastAsia="Calibri"/>
          <w:lang w:eastAsia="en-US"/>
        </w:rPr>
        <w:t xml:space="preserve"> </w:t>
      </w:r>
      <w:proofErr w:type="spellStart"/>
      <w:r w:rsidRPr="00C71B68">
        <w:rPr>
          <w:rFonts w:eastAsia="Calibri"/>
          <w:lang w:eastAsia="en-US"/>
        </w:rPr>
        <w:t>пошта</w:t>
      </w:r>
      <w:proofErr w:type="spellEnd"/>
      <w:r w:rsidRPr="00C71B68">
        <w:rPr>
          <w:rFonts w:eastAsia="Calibri"/>
          <w:lang w:eastAsia="en-US"/>
        </w:rPr>
        <w:t xml:space="preserve"> </w:t>
      </w:r>
      <w:proofErr w:type="spellStart"/>
      <w:r w:rsidRPr="00C71B68">
        <w:rPr>
          <w:rFonts w:eastAsia="Calibri"/>
          <w:lang w:eastAsia="en-US"/>
        </w:rPr>
        <w:t>мекенжайы</w:t>
      </w:r>
      <w:proofErr w:type="spellEnd"/>
      <w:r w:rsidRPr="00C71B68">
        <w:rPr>
          <w:rFonts w:eastAsia="Calibri"/>
          <w:lang w:eastAsia="en-US"/>
        </w:rPr>
        <w:t xml:space="preserve"> medinfo@kphk.kz.</w:t>
      </w:r>
    </w:p>
    <w:p w14:paraId="2B04A293" w14:textId="6BDDAC67" w:rsidR="00B020E8" w:rsidRPr="009B6397" w:rsidRDefault="00B020E8" w:rsidP="00CC1071">
      <w:pPr>
        <w:spacing w:after="240"/>
        <w:rPr>
          <w:b/>
        </w:rPr>
      </w:pPr>
    </w:p>
    <w:p w14:paraId="322BE4CE" w14:textId="1D098B42" w:rsidR="00B020E8" w:rsidRDefault="00B020E8" w:rsidP="00CC1071">
      <w:pPr>
        <w:spacing w:after="240"/>
        <w:rPr>
          <w:b/>
          <w:lang w:val="kk-KZ"/>
        </w:rPr>
      </w:pPr>
    </w:p>
    <w:p w14:paraId="123015EE" w14:textId="1D2E1A73" w:rsidR="00B020E8" w:rsidRDefault="00B020E8" w:rsidP="00CC1071">
      <w:pPr>
        <w:spacing w:after="240"/>
        <w:rPr>
          <w:b/>
          <w:lang w:val="kk-KZ"/>
        </w:rPr>
      </w:pPr>
    </w:p>
    <w:p w14:paraId="250E3C34" w14:textId="77777777" w:rsidR="00B020E8" w:rsidRPr="00017296" w:rsidRDefault="00B020E8" w:rsidP="00CC1071">
      <w:pPr>
        <w:spacing w:after="240"/>
        <w:rPr>
          <w:b/>
          <w:lang w:val="kk-KZ"/>
        </w:rPr>
      </w:pPr>
    </w:p>
    <w:sectPr w:rsidR="00B020E8" w:rsidRPr="0001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NewCenturySchlbkCyr-Roman">
    <w:altName w:val="Arial Unicode MS"/>
    <w:panose1 w:val="00000000000000000000"/>
    <w:charset w:val="81"/>
    <w:family w:val="auto"/>
    <w:notTrueType/>
    <w:pitch w:val="default"/>
    <w:sig w:usb0="00000201" w:usb1="09060000" w:usb2="00000010" w:usb3="00000000" w:csb0="0008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FA"/>
    <w:rsid w:val="009B6397"/>
    <w:rsid w:val="00B020E8"/>
    <w:rsid w:val="00CC1071"/>
    <w:rsid w:val="00CF3CE7"/>
    <w:rsid w:val="00D83480"/>
    <w:rsid w:val="00DF28E0"/>
    <w:rsid w:val="00F97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FCADB"/>
  <w15:chartTrackingRefBased/>
  <w15:docId w15:val="{2F9009D6-5BDF-47CF-B89B-2773FE97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10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CC1071"/>
    <w:pPr>
      <w:spacing w:line="360" w:lineRule="auto"/>
      <w:ind w:firstLine="680"/>
      <w:jc w:val="both"/>
    </w:pPr>
    <w:rPr>
      <w:szCs w:val="20"/>
      <w:lang w:val="x-none" w:eastAsia="en-US"/>
    </w:rPr>
  </w:style>
  <w:style w:type="character" w:customStyle="1" w:styleId="a4">
    <w:name w:val="Основной текст Знак"/>
    <w:basedOn w:val="a0"/>
    <w:link w:val="a3"/>
    <w:rsid w:val="00CC1071"/>
    <w:rPr>
      <w:rFonts w:ascii="Times New Roman" w:eastAsia="Times New Roman" w:hAnsi="Times New Roman" w:cs="Times New Roman"/>
      <w:sz w:val="24"/>
      <w:szCs w:val="20"/>
      <w:lang w:val="x-none"/>
    </w:rPr>
  </w:style>
  <w:style w:type="character" w:customStyle="1" w:styleId="a5">
    <w:name w:val="Основной текст + Полужирный;Курсив"/>
    <w:basedOn w:val="a0"/>
    <w:rsid w:val="00CC107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paragraph" w:styleId="a6">
    <w:name w:val="Balloon Text"/>
    <w:basedOn w:val="a"/>
    <w:link w:val="a7"/>
    <w:uiPriority w:val="99"/>
    <w:semiHidden/>
    <w:unhideWhenUsed/>
    <w:rsid w:val="00D83480"/>
    <w:rPr>
      <w:rFonts w:ascii="Segoe UI" w:hAnsi="Segoe UI" w:cs="Segoe UI"/>
      <w:sz w:val="18"/>
      <w:szCs w:val="18"/>
    </w:rPr>
  </w:style>
  <w:style w:type="character" w:customStyle="1" w:styleId="a7">
    <w:name w:val="Текст выноски Знак"/>
    <w:basedOn w:val="a0"/>
    <w:link w:val="a6"/>
    <w:uiPriority w:val="99"/>
    <w:semiHidden/>
    <w:rsid w:val="00D83480"/>
    <w:rPr>
      <w:rFonts w:ascii="Segoe UI" w:eastAsia="Times New Roman" w:hAnsi="Segoe UI" w:cs="Segoe UI"/>
      <w:sz w:val="18"/>
      <w:szCs w:val="18"/>
      <w:lang w:eastAsia="ru-RU"/>
    </w:rPr>
  </w:style>
  <w:style w:type="paragraph" w:styleId="HTML">
    <w:name w:val="HTML Preformatted"/>
    <w:basedOn w:val="a"/>
    <w:link w:val="HTML0"/>
    <w:uiPriority w:val="99"/>
    <w:semiHidden/>
    <w:unhideWhenUsed/>
    <w:rsid w:val="00DF2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F28E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2020-11-10T11:36:00Z</dcterms:created>
  <dcterms:modified xsi:type="dcterms:W3CDTF">2020-11-11T06:10:00Z</dcterms:modified>
</cp:coreProperties>
</file>