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3B" w:rsidRDefault="00A03D88" w:rsidP="009F203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203B">
        <w:rPr>
          <w:rFonts w:eastAsia="Calibri"/>
          <w:b/>
          <w:sz w:val="28"/>
          <w:szCs w:val="28"/>
          <w:lang w:eastAsia="en-US"/>
        </w:rPr>
        <w:t>Прямое обращение к специалистам здравоохранения по препарату</w:t>
      </w:r>
    </w:p>
    <w:p w:rsidR="009F203B" w:rsidRDefault="009F203B" w:rsidP="009F203B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F5089" w:rsidRPr="00A81962" w:rsidRDefault="006F5089" w:rsidP="006F5089">
      <w:pPr>
        <w:autoSpaceDE w:val="0"/>
        <w:autoSpaceDN w:val="0"/>
        <w:jc w:val="center"/>
        <w:rPr>
          <w:sz w:val="28"/>
          <w:szCs w:val="28"/>
        </w:rPr>
      </w:pPr>
      <w:r>
        <w:rPr>
          <w:rFonts w:eastAsia="Calibri"/>
          <w:b/>
          <w:sz w:val="28"/>
          <w:lang w:eastAsia="en-US"/>
        </w:rPr>
        <w:t>Семиклотин, л</w:t>
      </w:r>
      <w:r w:rsidRPr="00470B00">
        <w:rPr>
          <w:rFonts w:eastAsia="Calibri"/>
          <w:b/>
          <w:sz w:val="28"/>
          <w:lang w:eastAsia="en-US"/>
        </w:rPr>
        <w:t>иофилизат для приготовления раствора для внутривенного введения 1.2 мг, 2.4 мг, в комплекте с растворителем (вода для инъекций)</w:t>
      </w:r>
    </w:p>
    <w:p w:rsidR="00A03D88" w:rsidRPr="00945651" w:rsidRDefault="00A03D88" w:rsidP="00A03D88">
      <w:pPr>
        <w:spacing w:line="259" w:lineRule="auto"/>
        <w:jc w:val="both"/>
        <w:rPr>
          <w:rFonts w:eastAsia="Calibri"/>
          <w:b/>
          <w:lang w:eastAsia="en-US"/>
        </w:rPr>
      </w:pPr>
    </w:p>
    <w:p w:rsidR="00A03D88" w:rsidRPr="009F203B" w:rsidRDefault="00A03D88" w:rsidP="00A03D8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203B">
        <w:rPr>
          <w:rFonts w:eastAsia="Calibri"/>
          <w:b/>
          <w:sz w:val="28"/>
          <w:szCs w:val="28"/>
          <w:lang w:eastAsia="en-US"/>
        </w:rPr>
        <w:t>Уважаемые специалисты здравоохранения!</w:t>
      </w:r>
    </w:p>
    <w:p w:rsidR="00A03D88" w:rsidRPr="001F63E5" w:rsidRDefault="00A03D88" w:rsidP="00A03D88">
      <w:pPr>
        <w:spacing w:line="259" w:lineRule="auto"/>
        <w:jc w:val="center"/>
        <w:rPr>
          <w:rFonts w:eastAsia="Calibri"/>
          <w:b/>
          <w:lang w:eastAsia="en-US"/>
        </w:rPr>
      </w:pPr>
    </w:p>
    <w:p w:rsidR="002B66C5" w:rsidRPr="001A6007" w:rsidRDefault="002B66C5" w:rsidP="00AB1225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ТОО «Карагандинский фармацевтический комплекс» (далее ТОО «КФК»), по соглашению с РГП на ПХВ «</w:t>
      </w:r>
      <w:r w:rsidRPr="001A6007">
        <w:rPr>
          <w:rFonts w:eastAsia="Calibri"/>
          <w:i/>
          <w:lang w:eastAsia="en-US"/>
        </w:rPr>
        <w:t xml:space="preserve">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</w:t>
      </w:r>
      <w:r w:rsidRPr="001A6007">
        <w:rPr>
          <w:rFonts w:eastAsia="Calibri"/>
          <w:lang w:eastAsia="en-US"/>
        </w:rPr>
        <w:t>(НЦЭЛС), сообщает Вам следующее:</w:t>
      </w:r>
    </w:p>
    <w:p w:rsidR="001F564C" w:rsidRDefault="001F564C" w:rsidP="00A03D88">
      <w:pPr>
        <w:spacing w:line="259" w:lineRule="auto"/>
        <w:jc w:val="both"/>
        <w:rPr>
          <w:rFonts w:eastAsia="Calibri"/>
          <w:b/>
          <w:lang w:eastAsia="en-US"/>
        </w:rPr>
      </w:pPr>
    </w:p>
    <w:p w:rsidR="00A03D88" w:rsidRPr="00945651" w:rsidRDefault="00A03D88" w:rsidP="00A03D88">
      <w:pPr>
        <w:spacing w:line="259" w:lineRule="auto"/>
        <w:jc w:val="both"/>
        <w:rPr>
          <w:rFonts w:eastAsia="Calibri"/>
          <w:b/>
          <w:lang w:eastAsia="en-US"/>
        </w:rPr>
      </w:pPr>
      <w:r w:rsidRPr="00945651">
        <w:rPr>
          <w:rFonts w:eastAsia="Calibri"/>
          <w:b/>
          <w:lang w:eastAsia="en-US"/>
        </w:rPr>
        <w:t>Краткое изложение</w:t>
      </w:r>
    </w:p>
    <w:p w:rsidR="00E10D8B" w:rsidRDefault="00E10D8B" w:rsidP="00A03D88">
      <w:pPr>
        <w:spacing w:line="259" w:lineRule="auto"/>
        <w:jc w:val="both"/>
        <w:rPr>
          <w:rFonts w:eastAsia="Calibri"/>
          <w:lang w:eastAsia="en-US"/>
        </w:rPr>
      </w:pPr>
    </w:p>
    <w:p w:rsidR="00E21866" w:rsidRDefault="009D3195" w:rsidP="00A03D8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Данное </w:t>
      </w:r>
      <w:r w:rsidRPr="00945651">
        <w:rPr>
          <w:rFonts w:eastAsia="Calibri"/>
          <w:lang w:eastAsia="en-US"/>
        </w:rPr>
        <w:t xml:space="preserve">Прямое </w:t>
      </w:r>
      <w:r>
        <w:rPr>
          <w:rFonts w:eastAsia="Calibri"/>
          <w:lang w:eastAsia="en-US"/>
        </w:rPr>
        <w:t>обращение к специалистам здравоохранени</w:t>
      </w:r>
      <w:proofErr w:type="gramStart"/>
      <w:r>
        <w:rPr>
          <w:rFonts w:eastAsia="Calibri"/>
          <w:lang w:eastAsia="en-US"/>
        </w:rPr>
        <w:t>я(</w:t>
      </w:r>
      <w:proofErr w:type="gramEnd"/>
      <w:r>
        <w:rPr>
          <w:rFonts w:eastAsia="Calibri"/>
          <w:lang w:eastAsia="en-US"/>
        </w:rPr>
        <w:t>ПОСЗ) подготовлено на основании</w:t>
      </w:r>
      <w:r w:rsidR="006A68BC" w:rsidRPr="006A68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общей характеристики </w:t>
      </w:r>
      <w:r w:rsidR="00A03D88" w:rsidRPr="00945651">
        <w:rPr>
          <w:rFonts w:eastAsia="Calibri"/>
          <w:lang w:eastAsia="en-US"/>
        </w:rPr>
        <w:t>лекарственного препарата</w:t>
      </w:r>
      <w:r w:rsidR="005F3858">
        <w:rPr>
          <w:rFonts w:eastAsia="Calibri"/>
          <w:lang w:eastAsia="en-US"/>
        </w:rPr>
        <w:t xml:space="preserve"> (ОХЛП)</w:t>
      </w:r>
      <w:r w:rsidR="006A68BC" w:rsidRPr="006A68BC">
        <w:rPr>
          <w:rFonts w:eastAsia="Calibri"/>
          <w:lang w:eastAsia="en-US"/>
        </w:rPr>
        <w:t xml:space="preserve"> </w:t>
      </w:r>
      <w:r w:rsidR="006A68BC">
        <w:rPr>
          <w:rFonts w:eastAsia="Calibri"/>
          <w:lang w:eastAsia="en-US"/>
        </w:rPr>
        <w:t>Семиклотин</w:t>
      </w:r>
      <w:r w:rsidR="00A03D88" w:rsidRPr="00945651">
        <w:rPr>
          <w:rFonts w:eastAsia="Calibri"/>
          <w:lang w:eastAsia="en-US"/>
        </w:rPr>
        <w:t xml:space="preserve"> </w:t>
      </w:r>
      <w:r w:rsidR="00E21866" w:rsidRPr="001A6007">
        <w:rPr>
          <w:rFonts w:eastAsia="Calibri"/>
          <w:lang w:eastAsia="en-US"/>
        </w:rPr>
        <w:t xml:space="preserve">утвержденной </w:t>
      </w:r>
      <w:r w:rsidR="006A68BC">
        <w:rPr>
          <w:rFonts w:eastAsia="Calibri"/>
          <w:lang w:eastAsia="en-US"/>
        </w:rPr>
        <w:t>04.10.2021</w:t>
      </w:r>
      <w:r w:rsidR="00E21866" w:rsidRPr="001A6007">
        <w:rPr>
          <w:rFonts w:eastAsia="Calibri"/>
          <w:lang w:eastAsia="en-US"/>
        </w:rPr>
        <w:t xml:space="preserve"> г.</w:t>
      </w:r>
    </w:p>
    <w:p w:rsidR="00E21866" w:rsidRDefault="00E21866" w:rsidP="00A03D88">
      <w:pPr>
        <w:spacing w:line="259" w:lineRule="auto"/>
        <w:jc w:val="both"/>
        <w:rPr>
          <w:rFonts w:eastAsia="Calibri"/>
          <w:lang w:eastAsia="en-US"/>
        </w:rPr>
      </w:pPr>
    </w:p>
    <w:p w:rsidR="0076204D" w:rsidRDefault="00A03D88" w:rsidP="00A03D88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Работникам системы здравоохранения рекомендуется вн</w:t>
      </w:r>
      <w:r w:rsidR="00741601">
        <w:rPr>
          <w:rFonts w:eastAsia="Calibri"/>
          <w:lang w:eastAsia="en-US"/>
        </w:rPr>
        <w:t xml:space="preserve">имательно ознакомиться </w:t>
      </w:r>
      <w:proofErr w:type="gramStart"/>
      <w:r w:rsidR="00741601">
        <w:rPr>
          <w:rFonts w:eastAsia="Calibri"/>
          <w:lang w:eastAsia="en-US"/>
        </w:rPr>
        <w:t>с</w:t>
      </w:r>
      <w:proofErr w:type="gramEnd"/>
      <w:r w:rsidR="00741601">
        <w:rPr>
          <w:rFonts w:eastAsia="Calibri"/>
          <w:lang w:eastAsia="en-US"/>
        </w:rPr>
        <w:t xml:space="preserve"> данным</w:t>
      </w:r>
      <w:r w:rsidRPr="00945651">
        <w:rPr>
          <w:rFonts w:eastAsia="Calibri"/>
          <w:lang w:eastAsia="en-US"/>
        </w:rPr>
        <w:t xml:space="preserve"> П</w:t>
      </w:r>
      <w:r>
        <w:rPr>
          <w:rFonts w:eastAsia="Calibri"/>
          <w:lang w:val="kk-KZ" w:eastAsia="en-US"/>
        </w:rPr>
        <w:t>ОСЗ</w:t>
      </w:r>
      <w:r w:rsidRPr="00945651">
        <w:rPr>
          <w:rFonts w:eastAsia="Calibri"/>
          <w:lang w:eastAsia="en-US"/>
        </w:rPr>
        <w:t xml:space="preserve"> и </w:t>
      </w:r>
      <w:r w:rsidR="005F3858">
        <w:rPr>
          <w:rFonts w:eastAsia="Calibri"/>
          <w:lang w:eastAsia="en-US"/>
        </w:rPr>
        <w:t>ОХЛП</w:t>
      </w:r>
      <w:r w:rsidRPr="00945651">
        <w:rPr>
          <w:rFonts w:eastAsia="Calibri"/>
          <w:lang w:eastAsia="en-US"/>
        </w:rPr>
        <w:t>, обратив особое внимание на рекомендации по</w:t>
      </w:r>
      <w:r w:rsidR="005F3858">
        <w:rPr>
          <w:rFonts w:eastAsia="Calibri"/>
          <w:lang w:eastAsia="en-US"/>
        </w:rPr>
        <w:t xml:space="preserve"> применению лекарственного препарата </w:t>
      </w:r>
      <w:r w:rsidR="006A68BC">
        <w:rPr>
          <w:rFonts w:eastAsia="Calibri"/>
          <w:lang w:eastAsia="en-US"/>
        </w:rPr>
        <w:t>Семиклотин</w:t>
      </w:r>
      <w:r w:rsidRPr="00945651">
        <w:rPr>
          <w:rFonts w:eastAsia="Calibri"/>
          <w:lang w:eastAsia="en-US"/>
        </w:rPr>
        <w:t xml:space="preserve"> </w:t>
      </w:r>
    </w:p>
    <w:p w:rsidR="00E21866" w:rsidRPr="00945651" w:rsidRDefault="00E21866" w:rsidP="00A03D88">
      <w:pPr>
        <w:spacing w:line="259" w:lineRule="auto"/>
        <w:jc w:val="both"/>
        <w:rPr>
          <w:rFonts w:eastAsia="Calibri"/>
          <w:bCs/>
          <w:lang w:eastAsia="en-US"/>
        </w:rPr>
      </w:pPr>
    </w:p>
    <w:p w:rsidR="00A03D88" w:rsidRDefault="00A03D88" w:rsidP="00A03D88">
      <w:pPr>
        <w:spacing w:line="259" w:lineRule="auto"/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Ниже приводится краткое изложение наиболее важной информации.</w:t>
      </w:r>
    </w:p>
    <w:p w:rsidR="0076204D" w:rsidRPr="00945651" w:rsidRDefault="0076204D" w:rsidP="00A03D88">
      <w:pPr>
        <w:spacing w:line="259" w:lineRule="auto"/>
        <w:jc w:val="both"/>
        <w:rPr>
          <w:rFonts w:eastAsia="Calibri"/>
          <w:lang w:eastAsia="en-US"/>
        </w:rPr>
      </w:pPr>
    </w:p>
    <w:p w:rsidR="00A03D88" w:rsidRPr="00945651" w:rsidRDefault="001D480F" w:rsidP="00A03D88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Режим дозирования </w:t>
      </w:r>
    </w:p>
    <w:p w:rsidR="0076204D" w:rsidRDefault="0076204D" w:rsidP="0076204D">
      <w:pPr>
        <w:spacing w:line="259" w:lineRule="auto"/>
        <w:jc w:val="both"/>
        <w:rPr>
          <w:rFonts w:eastAsia="Calibri"/>
          <w:bCs/>
          <w:lang w:eastAsia="en-US"/>
        </w:rPr>
      </w:pPr>
    </w:p>
    <w:p w:rsidR="006A68BC" w:rsidRPr="006810A8" w:rsidRDefault="006A68BC" w:rsidP="006A68BC">
      <w:pPr>
        <w:jc w:val="both"/>
      </w:pPr>
      <w:r w:rsidRPr="006810A8">
        <w:t xml:space="preserve">Семиклотин используется для остановки и предупреждения кровотечений при проведении хирургических вмешательств и инвазивных процедур в следующих группах пациентов </w:t>
      </w:r>
      <w:proofErr w:type="gramStart"/>
      <w:r w:rsidRPr="006810A8">
        <w:t>с</w:t>
      </w:r>
      <w:proofErr w:type="gramEnd"/>
      <w:r w:rsidRPr="006810A8">
        <w:t>:</w:t>
      </w:r>
    </w:p>
    <w:p w:rsidR="006A68BC" w:rsidRPr="006810A8" w:rsidRDefault="006A68BC" w:rsidP="006A68BC">
      <w:pPr>
        <w:pStyle w:val="a6"/>
        <w:numPr>
          <w:ilvl w:val="0"/>
          <w:numId w:val="2"/>
        </w:numPr>
        <w:jc w:val="both"/>
      </w:pPr>
      <w:r w:rsidRPr="006810A8">
        <w:t>- наследственной гемофилией с титром ингибиторов факторов свертывания VIII или IX &gt; 5 БЕ (Бетезда единиц);</w:t>
      </w:r>
    </w:p>
    <w:p w:rsidR="006A68BC" w:rsidRPr="006810A8" w:rsidRDefault="006A68BC" w:rsidP="006A68BC">
      <w:pPr>
        <w:pStyle w:val="a6"/>
        <w:numPr>
          <w:ilvl w:val="0"/>
          <w:numId w:val="2"/>
        </w:numPr>
        <w:jc w:val="both"/>
      </w:pPr>
      <w:r w:rsidRPr="006810A8">
        <w:t>-наследственной гемофилией с ожидаемой иммунной реакцией на введение фактора VIII или фактора IX на основании анамнеза;</w:t>
      </w:r>
    </w:p>
    <w:p w:rsidR="006A68BC" w:rsidRPr="006810A8" w:rsidRDefault="006A68BC" w:rsidP="006A68BC">
      <w:pPr>
        <w:pStyle w:val="a6"/>
        <w:numPr>
          <w:ilvl w:val="0"/>
          <w:numId w:val="2"/>
        </w:numPr>
        <w:jc w:val="both"/>
      </w:pPr>
      <w:r w:rsidRPr="006810A8">
        <w:t>- приобретенной гемофилией;</w:t>
      </w:r>
    </w:p>
    <w:p w:rsidR="006A68BC" w:rsidRPr="006810A8" w:rsidRDefault="006A68BC" w:rsidP="006A68BC">
      <w:pPr>
        <w:pStyle w:val="a6"/>
        <w:numPr>
          <w:ilvl w:val="0"/>
          <w:numId w:val="2"/>
        </w:numPr>
        <w:jc w:val="both"/>
      </w:pPr>
      <w:r w:rsidRPr="006810A8">
        <w:t>- врожденным дефицитом фактора VII;</w:t>
      </w:r>
    </w:p>
    <w:p w:rsidR="006A68BC" w:rsidRDefault="006A68BC" w:rsidP="006A68BC">
      <w:pPr>
        <w:pStyle w:val="a6"/>
        <w:numPr>
          <w:ilvl w:val="0"/>
          <w:numId w:val="2"/>
        </w:numPr>
        <w:jc w:val="both"/>
      </w:pPr>
      <w:r w:rsidRPr="006810A8">
        <w:t>-тромбастенией Гланцмана при наличии антител к гликопротеинам IIb-IIIa и рефрактерностью (в настоящем или в прошлом) к трансфузиям тромбоцитарной массы.</w:t>
      </w:r>
    </w:p>
    <w:p w:rsidR="0076204D" w:rsidRDefault="0076204D" w:rsidP="0076204D">
      <w:pPr>
        <w:spacing w:line="259" w:lineRule="auto"/>
        <w:jc w:val="both"/>
        <w:rPr>
          <w:rFonts w:eastAsia="Calibri"/>
          <w:bCs/>
          <w:lang w:eastAsia="en-US"/>
        </w:rPr>
      </w:pPr>
    </w:p>
    <w:p w:rsidR="00AD347E" w:rsidRPr="006810A8" w:rsidRDefault="00AD347E" w:rsidP="00AD347E">
      <w:pPr>
        <w:jc w:val="both"/>
      </w:pPr>
      <w:r w:rsidRPr="006810A8">
        <w:t>Лечение следует начинать под наблюдением врача, имеющего опыт лечения гемофилии и/или патологии системы свертывания.</w:t>
      </w:r>
    </w:p>
    <w:p w:rsidR="00AD347E" w:rsidRDefault="00AD347E" w:rsidP="0076204D">
      <w:pPr>
        <w:spacing w:line="259" w:lineRule="auto"/>
        <w:jc w:val="both"/>
        <w:rPr>
          <w:rFonts w:eastAsia="Calibri"/>
          <w:bCs/>
          <w:lang w:eastAsia="en-US"/>
        </w:rPr>
      </w:pPr>
    </w:p>
    <w:p w:rsidR="00AD347E" w:rsidRPr="006810A8" w:rsidRDefault="00AD347E" w:rsidP="00AD347E">
      <w:pPr>
        <w:jc w:val="both"/>
        <w:rPr>
          <w:u w:val="single"/>
        </w:rPr>
      </w:pPr>
      <w:bookmarkStart w:id="0" w:name="_Hlk49164403"/>
      <w:r w:rsidRPr="006810A8">
        <w:rPr>
          <w:u w:val="single"/>
        </w:rPr>
        <w:t>Гемофилия А или В с ингибиторами или с ожидаемой иммунной реакцией на введение фактора VIII или фактора IX</w:t>
      </w:r>
    </w:p>
    <w:p w:rsidR="00AD347E" w:rsidRPr="006810A8" w:rsidRDefault="00AD347E" w:rsidP="00AD347E">
      <w:pPr>
        <w:jc w:val="both"/>
      </w:pPr>
      <w:bookmarkStart w:id="1" w:name="_Hlk49164491"/>
      <w:bookmarkEnd w:id="0"/>
      <w:r w:rsidRPr="006810A8">
        <w:t xml:space="preserve">Введение препарата следует начинать как можно быстрее после начала кровотечения. Рекомендуемая начальная доза, вводимая внутривенно струйно, составляет 90 мкг на кг массы тела </w:t>
      </w:r>
      <w:r w:rsidRPr="006810A8">
        <w:rPr>
          <w:lang w:val="kk-KZ"/>
        </w:rPr>
        <w:t>пациента</w:t>
      </w:r>
      <w:r w:rsidRPr="006810A8">
        <w:t>. После введения начальной дозы могут понадобиться повторные инъекции. Длительность лечения и интервал между инъекциями определяются тяжестью кровотечения или характером инвазивной процедуры, или хирургического вмешательства.</w:t>
      </w:r>
    </w:p>
    <w:p w:rsidR="00AD347E" w:rsidRPr="006810A8" w:rsidRDefault="00AD347E" w:rsidP="00AD347E">
      <w:pPr>
        <w:jc w:val="both"/>
        <w:rPr>
          <w:i/>
          <w:iCs/>
        </w:rPr>
      </w:pPr>
      <w:r w:rsidRPr="006810A8">
        <w:rPr>
          <w:i/>
          <w:iCs/>
        </w:rPr>
        <w:t>Дети</w:t>
      </w:r>
    </w:p>
    <w:p w:rsidR="00AD347E" w:rsidRPr="006810A8" w:rsidRDefault="00AD347E" w:rsidP="00AD347E">
      <w:pPr>
        <w:jc w:val="both"/>
        <w:rPr>
          <w:b/>
          <w:i/>
        </w:rPr>
      </w:pPr>
      <w:r w:rsidRPr="006810A8">
        <w:t xml:space="preserve">Имеющийся в настоящее время клинический опыт не позволяет предложить дифференцированный режим дозирования для детей и взрослых, хотя известно, что </w:t>
      </w:r>
      <w:r w:rsidRPr="006810A8">
        <w:lastRenderedPageBreak/>
        <w:t xml:space="preserve">клиренс у детей выше. Поэтому в педиатрической практике может возникнуть необходимость применения более высоких доз фактора свертывания крови </w:t>
      </w:r>
      <w:r w:rsidRPr="006810A8">
        <w:rPr>
          <w:lang w:val="en-US"/>
        </w:rPr>
        <w:t>rFVII</w:t>
      </w:r>
      <w:r w:rsidRPr="006810A8">
        <w:t>а для достижения концентрации препарата в плазме, аналогичной концентрации в плазме взрослых пациентов (смотри</w:t>
      </w:r>
      <w:r w:rsidRPr="006810A8">
        <w:rPr>
          <w:lang w:val="kk-KZ"/>
        </w:rPr>
        <w:t>те</w:t>
      </w:r>
      <w:r w:rsidRPr="006810A8">
        <w:t xml:space="preserve"> раздел 5.2). </w:t>
      </w:r>
    </w:p>
    <w:bookmarkEnd w:id="1"/>
    <w:p w:rsidR="00AD347E" w:rsidRPr="006810A8" w:rsidRDefault="00AD347E" w:rsidP="00AD347E">
      <w:pPr>
        <w:jc w:val="both"/>
        <w:rPr>
          <w:i/>
        </w:rPr>
      </w:pPr>
      <w:r w:rsidRPr="006810A8">
        <w:rPr>
          <w:i/>
        </w:rPr>
        <w:t>Частота введения препарата</w:t>
      </w:r>
    </w:p>
    <w:p w:rsidR="00AD347E" w:rsidRPr="006810A8" w:rsidRDefault="00AD347E" w:rsidP="00AD347E">
      <w:pPr>
        <w:jc w:val="both"/>
        <w:rPr>
          <w:lang w:val="kk-KZ"/>
        </w:rPr>
      </w:pPr>
      <w:r w:rsidRPr="006810A8">
        <w:t xml:space="preserve">Каждые 2-3 часа до достижения гемостаза. </w:t>
      </w:r>
    </w:p>
    <w:p w:rsidR="00AD347E" w:rsidRPr="006810A8" w:rsidRDefault="00AD347E" w:rsidP="00AD347E">
      <w:pPr>
        <w:jc w:val="both"/>
        <w:rPr>
          <w:b/>
          <w:i/>
        </w:rPr>
      </w:pPr>
      <w:r w:rsidRPr="006810A8">
        <w:t>Если имеются показания для продолжения лечения после остановки кровотечения, то интервалы между введениями препарата могут быть последовательно увеличены до 4, 6, 8 или 12 часов на весь период лечения в соответствии с показаниями.</w:t>
      </w:r>
    </w:p>
    <w:p w:rsidR="00AD347E" w:rsidRPr="006810A8" w:rsidRDefault="00AD347E" w:rsidP="00AD347E">
      <w:pPr>
        <w:jc w:val="both"/>
        <w:rPr>
          <w:i/>
        </w:rPr>
      </w:pPr>
      <w:r w:rsidRPr="006810A8">
        <w:rPr>
          <w:i/>
        </w:rPr>
        <w:t>Кровотечения легкой и средней степени тяжести (включая амбулаторное лечение)</w:t>
      </w:r>
    </w:p>
    <w:p w:rsidR="00AD347E" w:rsidRPr="006810A8" w:rsidRDefault="00AD347E" w:rsidP="00AD347E">
      <w:pPr>
        <w:jc w:val="both"/>
      </w:pPr>
      <w:r w:rsidRPr="006810A8">
        <w:t>Наиболее эффективно раннее введение препарата. Рекомендуется следующий дозовый режим:</w:t>
      </w:r>
    </w:p>
    <w:p w:rsidR="00AD347E" w:rsidRPr="006810A8" w:rsidRDefault="00AD347E" w:rsidP="00AD347E">
      <w:pPr>
        <w:jc w:val="both"/>
      </w:pPr>
      <w:r w:rsidRPr="006810A8">
        <w:t>- от одной до трёх инъекций в дозе 90 мкг на кг массы тела через каждые три часа. Для поддержания эффекта может быть назначена одна дополнительная доза препарата Семиклотин из расчёта 90 мкг на кг массы тела.</w:t>
      </w:r>
    </w:p>
    <w:p w:rsidR="00AD347E" w:rsidRPr="006810A8" w:rsidRDefault="00AD347E" w:rsidP="00AD347E">
      <w:pPr>
        <w:jc w:val="both"/>
      </w:pPr>
      <w:r w:rsidRPr="006810A8">
        <w:t>-однократная инъекция из расчёта 270 мкг на кг массы тела.</w:t>
      </w:r>
    </w:p>
    <w:p w:rsidR="00AD347E" w:rsidRPr="006810A8" w:rsidRDefault="00AD347E" w:rsidP="00AD347E">
      <w:pPr>
        <w:jc w:val="both"/>
      </w:pPr>
      <w:r w:rsidRPr="006810A8">
        <w:t xml:space="preserve">Продолжительность амбулаторного лечения не должна превышать 24 часов. </w:t>
      </w:r>
    </w:p>
    <w:p w:rsidR="00AD347E" w:rsidRPr="006810A8" w:rsidRDefault="00AD347E" w:rsidP="00AD347E">
      <w:pPr>
        <w:jc w:val="both"/>
        <w:rPr>
          <w:i/>
          <w:iCs/>
        </w:rPr>
      </w:pPr>
      <w:r w:rsidRPr="006810A8">
        <w:t xml:space="preserve">Клинический опыт применения препарата в однократной дозе 270 мкг на кг массы тела </w:t>
      </w:r>
      <w:proofErr w:type="gramStart"/>
      <w:r w:rsidRPr="006810A8">
        <w:t>у</w:t>
      </w:r>
      <w:proofErr w:type="gramEnd"/>
      <w:r w:rsidRPr="006810A8">
        <w:t xml:space="preserve"> пожилых пациентов отсутствует.</w:t>
      </w:r>
    </w:p>
    <w:p w:rsidR="00AD347E" w:rsidRPr="006810A8" w:rsidRDefault="00AD347E" w:rsidP="00AD347E">
      <w:pPr>
        <w:jc w:val="both"/>
        <w:rPr>
          <w:i/>
        </w:rPr>
      </w:pPr>
      <w:r w:rsidRPr="006810A8">
        <w:rPr>
          <w:i/>
        </w:rPr>
        <w:t>Кровотечения тяжелой степени</w:t>
      </w:r>
    </w:p>
    <w:p w:rsidR="00AD347E" w:rsidRPr="006810A8" w:rsidRDefault="00AD347E" w:rsidP="00AD347E">
      <w:pPr>
        <w:jc w:val="both"/>
        <w:rPr>
          <w:b/>
          <w:i/>
        </w:rPr>
      </w:pPr>
      <w:r w:rsidRPr="006810A8">
        <w:t xml:space="preserve">Рекомендуемая начальная доза препарата </w:t>
      </w:r>
      <w:proofErr w:type="gramStart"/>
      <w:r w:rsidRPr="006810A8">
        <w:t>составляет 90 мкг на кг массы тела и может</w:t>
      </w:r>
      <w:proofErr w:type="gramEnd"/>
      <w:r w:rsidRPr="006810A8">
        <w:t xml:space="preserve"> вводиться на этапе транспортировки в стационар, где обычно лечится данный пациент. Схема дальнейшей терапии зависит от типа и тяжести кровотечения. В начале лечения препарат вводится каждые два часа до наступления клинического улучшения. При наличии показаний к продолжению терапии интервалы между введениями препарата могут быть увеличены до 3 часов в течение 1-2 суток. В последующем, интервалы между введениями препарата можно увеличивать до 4, 6, 8 или 12 часов на весь период лечения в соответствии с показаниями. Продолжительность лечения тяжелого кровотечения может составлять 2-3 недели или более при наличии клинических показаний.</w:t>
      </w:r>
    </w:p>
    <w:p w:rsidR="00AD347E" w:rsidRPr="006810A8" w:rsidRDefault="00AD347E" w:rsidP="00AD347E">
      <w:pPr>
        <w:jc w:val="both"/>
        <w:rPr>
          <w:i/>
        </w:rPr>
      </w:pPr>
      <w:r w:rsidRPr="006810A8">
        <w:rPr>
          <w:i/>
        </w:rPr>
        <w:t>Инвазивные вмешательства/хирургические операции</w:t>
      </w:r>
    </w:p>
    <w:p w:rsidR="00AD347E" w:rsidRPr="006810A8" w:rsidRDefault="00AD347E" w:rsidP="00AD347E">
      <w:pPr>
        <w:jc w:val="both"/>
        <w:rPr>
          <w:b/>
        </w:rPr>
      </w:pPr>
      <w:r w:rsidRPr="006810A8">
        <w:t>Непосредственно перед вмешательством вводится начальная доза 90 мкг на кг массы тела пациента. Вторая доза вводится через 2 часа, а затем препарат вводится с 2–3 часовыми интервалами на протяжении первых 24-48 часов в зависимости от проводимого вмешательства и клинического состояния пациента. При больших операциях лечение продолжается 6-7 суток с 2–4 часовыми интервалами между введением препарата в рекомендуемой выше дозе. При проведении лечения на протяжении следующих 2 недель интервалы между введениями препарата могут быть увеличены до 6-8 часов. Общая продолжительность применения препарата после больших операций может составлять 2-3 недели вплоть до заживления операционной раны.</w:t>
      </w:r>
    </w:p>
    <w:p w:rsidR="00AD347E" w:rsidRDefault="00AD347E" w:rsidP="00AD347E">
      <w:pPr>
        <w:jc w:val="both"/>
        <w:rPr>
          <w:u w:val="single"/>
        </w:rPr>
      </w:pPr>
    </w:p>
    <w:p w:rsidR="00AD347E" w:rsidRPr="006810A8" w:rsidRDefault="00AD347E" w:rsidP="00AD347E">
      <w:pPr>
        <w:jc w:val="both"/>
        <w:rPr>
          <w:u w:val="single"/>
        </w:rPr>
      </w:pPr>
      <w:r w:rsidRPr="006810A8">
        <w:rPr>
          <w:u w:val="single"/>
        </w:rPr>
        <w:t>Приобретённая гемофилия</w:t>
      </w:r>
    </w:p>
    <w:p w:rsidR="00AD347E" w:rsidRPr="006810A8" w:rsidRDefault="00AD347E" w:rsidP="00AD347E">
      <w:pPr>
        <w:jc w:val="both"/>
      </w:pPr>
      <w:r w:rsidRPr="006810A8">
        <w:t xml:space="preserve">Показано как можно более раннее введение препарата Семиклотин после начала кровотечения. Рекомендуемая начальная доза, вводимая внутривенно струйно, составляет 90 мкг на кг массы тела </w:t>
      </w:r>
      <w:r w:rsidRPr="006810A8">
        <w:rPr>
          <w:lang w:val="kk-KZ"/>
        </w:rPr>
        <w:t>пациента</w:t>
      </w:r>
      <w:r w:rsidRPr="006810A8">
        <w:t xml:space="preserve">. После первой инъекции введение препарата Семиклотин можно повторять при необходимости. Длительность лечения и интервал между введениями препарата определяются тяжестью кровотечения или характером инвазивной процедуры или хирургического вмешательства. </w:t>
      </w:r>
    </w:p>
    <w:p w:rsidR="00AD347E" w:rsidRPr="006810A8" w:rsidRDefault="00AD347E" w:rsidP="00AD347E">
      <w:pPr>
        <w:jc w:val="both"/>
      </w:pPr>
      <w:r w:rsidRPr="006810A8">
        <w:t>При введении начальной дозы интервал должен составлять 2-3 часа. После достижения гемостаза интервалы между введениями препарата на весь период лечения можно увеличивать до 4, 6, 8 или 12 часов.</w:t>
      </w:r>
    </w:p>
    <w:p w:rsidR="00AD347E" w:rsidRDefault="00AD347E" w:rsidP="00AD347E">
      <w:pPr>
        <w:jc w:val="both"/>
        <w:rPr>
          <w:u w:val="single"/>
        </w:rPr>
      </w:pPr>
    </w:p>
    <w:p w:rsidR="00AD347E" w:rsidRPr="006810A8" w:rsidRDefault="00AD347E" w:rsidP="00AD347E">
      <w:pPr>
        <w:jc w:val="both"/>
        <w:rPr>
          <w:u w:val="single"/>
        </w:rPr>
      </w:pPr>
      <w:r w:rsidRPr="006810A8">
        <w:rPr>
          <w:u w:val="single"/>
        </w:rPr>
        <w:t>Дефицит фактора VII</w:t>
      </w:r>
    </w:p>
    <w:p w:rsidR="00AD347E" w:rsidRPr="006810A8" w:rsidRDefault="00AD347E" w:rsidP="00AD347E">
      <w:pPr>
        <w:jc w:val="both"/>
      </w:pPr>
      <w:r w:rsidRPr="006810A8">
        <w:t xml:space="preserve">Рекомендуемая доза для остановки кровотечений и профилактики кровотечений при </w:t>
      </w:r>
      <w:proofErr w:type="gramStart"/>
      <w:r w:rsidRPr="006810A8">
        <w:t>проведении</w:t>
      </w:r>
      <w:proofErr w:type="gramEnd"/>
      <w:r w:rsidRPr="006810A8">
        <w:t xml:space="preserve"> хирургических вмешательств или инвазивных процедур составляет 15-30 мкг </w:t>
      </w:r>
      <w:r w:rsidRPr="006810A8">
        <w:lastRenderedPageBreak/>
        <w:t>на кг массы тела. Препарат вводится каждые 4-6 часов до достижения гемостаза. Доза и частота введения уточняются в индивидуальном порядке.</w:t>
      </w:r>
    </w:p>
    <w:p w:rsidR="00AD347E" w:rsidRPr="006810A8" w:rsidRDefault="00AD347E" w:rsidP="00AD347E">
      <w:pPr>
        <w:jc w:val="both"/>
        <w:rPr>
          <w:i/>
          <w:lang w:val="kk-KZ"/>
        </w:rPr>
      </w:pPr>
      <w:r w:rsidRPr="006810A8">
        <w:rPr>
          <w:i/>
        </w:rPr>
        <w:t>Дет</w:t>
      </w:r>
      <w:r w:rsidRPr="006810A8">
        <w:rPr>
          <w:i/>
          <w:lang w:val="kk-KZ"/>
        </w:rPr>
        <w:t>и</w:t>
      </w:r>
    </w:p>
    <w:p w:rsidR="00AD347E" w:rsidRPr="006810A8" w:rsidRDefault="00AD347E" w:rsidP="00AD347E">
      <w:pPr>
        <w:jc w:val="both"/>
      </w:pPr>
      <w:r w:rsidRPr="006810A8">
        <w:t xml:space="preserve">Ограниченные данные клинического опыта в долгосрочной профилактике были собраны в педиатрической популяции младше 12 лет, с тяжелым клиническим фенотипом (см. раздел 5.1). </w:t>
      </w:r>
    </w:p>
    <w:p w:rsidR="00AD347E" w:rsidRPr="006810A8" w:rsidRDefault="00AD347E" w:rsidP="00AD347E">
      <w:pPr>
        <w:jc w:val="both"/>
        <w:rPr>
          <w:i/>
        </w:rPr>
      </w:pPr>
      <w:r w:rsidRPr="006810A8">
        <w:t>Доза и частота инъекций для профилактики должны быть основаны на клиническом эффекте и адаптированы индивидуально.</w:t>
      </w:r>
    </w:p>
    <w:p w:rsidR="00AD347E" w:rsidRDefault="00AD347E" w:rsidP="00AD347E">
      <w:pPr>
        <w:jc w:val="both"/>
        <w:rPr>
          <w:u w:val="single"/>
        </w:rPr>
      </w:pPr>
    </w:p>
    <w:p w:rsidR="00AD347E" w:rsidRPr="006810A8" w:rsidRDefault="00AD347E" w:rsidP="00AD347E">
      <w:pPr>
        <w:jc w:val="both"/>
        <w:rPr>
          <w:b/>
          <w:u w:val="single"/>
        </w:rPr>
      </w:pPr>
      <w:r w:rsidRPr="006810A8">
        <w:rPr>
          <w:u w:val="single"/>
        </w:rPr>
        <w:t>Тромбастения Гланцмана</w:t>
      </w:r>
    </w:p>
    <w:p w:rsidR="00AD347E" w:rsidRPr="006810A8" w:rsidRDefault="00AD347E" w:rsidP="00AD347E">
      <w:pPr>
        <w:jc w:val="both"/>
      </w:pPr>
      <w:r w:rsidRPr="006810A8">
        <w:t xml:space="preserve">Рекомендуемая доза для контроля кровотечений и профилактики кровотечений при </w:t>
      </w:r>
      <w:proofErr w:type="gramStart"/>
      <w:r w:rsidRPr="006810A8">
        <w:t>проведении</w:t>
      </w:r>
      <w:proofErr w:type="gramEnd"/>
      <w:r w:rsidRPr="006810A8">
        <w:t xml:space="preserve"> хирургических вмешательств или инвазивных процедур составляет 90 мкг (80-120 мкг) на кг массы тела. Препарат вводится каждые 2 часа (1.5–2.5 часа). Для обеспечения стойкого гемостаза требуется не менее трех доз. Рекомендуется внутривенный болюсный способ введения, поскольку при капельном введении эффективность препарата может снижаться. </w:t>
      </w:r>
    </w:p>
    <w:p w:rsidR="00AD347E" w:rsidRPr="006810A8" w:rsidRDefault="00AD347E" w:rsidP="00AD347E">
      <w:pPr>
        <w:jc w:val="both"/>
      </w:pPr>
      <w:r w:rsidRPr="006810A8">
        <w:t>У больных тромбастенией Гланцмана без рефрактерности препаратом выбора является тромбоцитарная масса.</w:t>
      </w:r>
    </w:p>
    <w:p w:rsidR="0015558C" w:rsidRDefault="0015558C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5044" w:rsidRPr="009C5044" w:rsidRDefault="009C5044" w:rsidP="00F8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C5044">
        <w:rPr>
          <w:b/>
        </w:rPr>
        <w:t>Способ применения</w:t>
      </w:r>
    </w:p>
    <w:p w:rsidR="00535A6E" w:rsidRPr="006810A8" w:rsidRDefault="009C5044" w:rsidP="00535A6E">
      <w:pPr>
        <w:jc w:val="both"/>
      </w:pPr>
      <w:r>
        <w:t xml:space="preserve">Препарат </w:t>
      </w:r>
      <w:r w:rsidR="00535A6E">
        <w:t xml:space="preserve">Семиклотин вводиться внутривенно </w:t>
      </w:r>
      <w:r w:rsidR="00535A6E" w:rsidRPr="006810A8">
        <w:t xml:space="preserve">медленно в течение 2-5 минут. </w:t>
      </w:r>
    </w:p>
    <w:p w:rsidR="002827D3" w:rsidRDefault="002827D3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>
        <w:rPr>
          <w:lang w:bidi="ru-RU"/>
        </w:rPr>
        <w:t>Р</w:t>
      </w:r>
      <w:r w:rsidR="0099553E">
        <w:rPr>
          <w:lang w:bidi="ru-RU"/>
        </w:rPr>
        <w:t xml:space="preserve">аствора препарата Семиклотин </w:t>
      </w:r>
      <w:r>
        <w:rPr>
          <w:lang w:bidi="ru-RU"/>
        </w:rPr>
        <w:t>необходимо готовить согласно ОХЛП и ИМП.</w:t>
      </w:r>
    </w:p>
    <w:p w:rsidR="009C5044" w:rsidRDefault="002827D3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  <w:r>
        <w:rPr>
          <w:lang w:bidi="ru-RU"/>
        </w:rPr>
        <w:t>Обучите пациента методике приготовления и введения раствора препарата Семиклотин.</w:t>
      </w:r>
    </w:p>
    <w:p w:rsidR="00BC5B33" w:rsidRDefault="00BC5B33" w:rsidP="009C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bidi="ru-RU"/>
        </w:rPr>
      </w:pPr>
    </w:p>
    <w:p w:rsidR="00A03D88" w:rsidRPr="00296860" w:rsidRDefault="00A03D88" w:rsidP="00A03D88">
      <w:pPr>
        <w:spacing w:line="259" w:lineRule="auto"/>
        <w:jc w:val="both"/>
        <w:rPr>
          <w:rFonts w:eastAsia="Calibri"/>
          <w:b/>
          <w:lang w:eastAsia="en-US"/>
        </w:rPr>
      </w:pPr>
      <w:r w:rsidRPr="00296860">
        <w:rPr>
          <w:rFonts w:eastAsia="Calibri"/>
          <w:b/>
          <w:lang w:eastAsia="en-US"/>
        </w:rPr>
        <w:t>Сообщение о подозреваемых нежелательных реакциях</w:t>
      </w:r>
    </w:p>
    <w:p w:rsidR="00A03D88" w:rsidRPr="00296860" w:rsidRDefault="00A03D88" w:rsidP="00A03D88">
      <w:pPr>
        <w:jc w:val="both"/>
      </w:pPr>
      <w:r w:rsidRPr="00296860">
        <w:t>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«польза-риск» лекарственного препарата. Медицинским работникам рекомендуется сообщать о любых подозреваемых нежелательных реакциях лекарственного препарата через национальную систему сообщения о нежелательных реакциях Республики Казахстан:</w:t>
      </w:r>
    </w:p>
    <w:p w:rsidR="00A03D88" w:rsidRPr="00945651" w:rsidRDefault="00A03D88" w:rsidP="009A632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96860">
        <w:t>РГП на ПХВ «Национальный Центр экспертизы лекарственных средств и медицинских изделий» Комитет контроля качества и безопасности товаров и услуг Министерства здравоохранения Республики Казахстан</w:t>
      </w:r>
      <w:r>
        <w:t xml:space="preserve">: </w:t>
      </w:r>
      <w:hyperlink r:id="rId6" w:history="1">
        <w:r w:rsidRPr="00296860">
          <w:rPr>
            <w:lang w:val="en-US"/>
          </w:rPr>
          <w:t>http</w:t>
        </w:r>
        <w:r w:rsidRPr="00296860">
          <w:t>://</w:t>
        </w:r>
        <w:r w:rsidRPr="00296860">
          <w:rPr>
            <w:lang w:val="en-US"/>
          </w:rPr>
          <w:t>www</w:t>
        </w:r>
        <w:r w:rsidRPr="00296860">
          <w:t>.</w:t>
        </w:r>
        <w:r w:rsidRPr="00296860">
          <w:rPr>
            <w:lang w:val="en-US"/>
          </w:rPr>
          <w:t>ndda</w:t>
        </w:r>
        <w:r w:rsidRPr="00296860">
          <w:t>.</w:t>
        </w:r>
        <w:r w:rsidRPr="00296860">
          <w:rPr>
            <w:lang w:val="en-US"/>
          </w:rPr>
          <w:t>kz</w:t>
        </w:r>
      </w:hyperlink>
      <w:r>
        <w:t xml:space="preserve">, </w:t>
      </w:r>
      <w:r w:rsidRPr="00945651">
        <w:rPr>
          <w:rFonts w:eastAsia="Calibri"/>
          <w:lang w:eastAsia="en-US"/>
        </w:rPr>
        <w:t xml:space="preserve">e-mail: </w:t>
      </w:r>
      <w:hyperlink r:id="rId7" w:history="1">
        <w:r w:rsidRPr="00373680">
          <w:rPr>
            <w:rStyle w:val="a3"/>
            <w:rFonts w:eastAsia="Calibri"/>
            <w:lang w:eastAsia="en-US"/>
          </w:rPr>
          <w:t>pdlc@dari.kz</w:t>
        </w:r>
      </w:hyperlink>
      <w:r>
        <w:rPr>
          <w:rFonts w:eastAsia="Calibri"/>
          <w:lang w:eastAsia="en-US"/>
        </w:rPr>
        <w:t xml:space="preserve">, номер </w:t>
      </w:r>
      <w:r w:rsidRPr="00945651">
        <w:rPr>
          <w:rFonts w:eastAsia="Calibri"/>
          <w:lang w:eastAsia="en-US"/>
        </w:rPr>
        <w:t xml:space="preserve">телефон 8 </w:t>
      </w:r>
      <w:r>
        <w:rPr>
          <w:rFonts w:eastAsia="Calibri"/>
          <w:lang w:eastAsia="en-US"/>
        </w:rPr>
        <w:t>(</w:t>
      </w:r>
      <w:r w:rsidRPr="00945651">
        <w:rPr>
          <w:rFonts w:eastAsia="Calibri"/>
          <w:lang w:eastAsia="en-US"/>
        </w:rPr>
        <w:t>7172</w:t>
      </w:r>
      <w:r>
        <w:rPr>
          <w:rFonts w:eastAsia="Calibri"/>
          <w:lang w:eastAsia="en-US"/>
        </w:rPr>
        <w:t>)</w:t>
      </w:r>
      <w:r w:rsidRPr="00945651">
        <w:rPr>
          <w:rFonts w:eastAsia="Calibri"/>
          <w:lang w:eastAsia="en-US"/>
        </w:rPr>
        <w:t xml:space="preserve"> 78 98 28</w:t>
      </w:r>
      <w:r>
        <w:rPr>
          <w:rFonts w:eastAsia="Calibri"/>
          <w:lang w:eastAsia="en-US"/>
        </w:rPr>
        <w:t>.</w:t>
      </w:r>
    </w:p>
    <w:p w:rsidR="00A03D88" w:rsidRDefault="00A03D88" w:rsidP="009A632A">
      <w:pPr>
        <w:jc w:val="both"/>
        <w:rPr>
          <w:rFonts w:eastAsia="Calibri"/>
          <w:lang w:eastAsia="en-US"/>
        </w:rPr>
      </w:pP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О нежелательных </w:t>
      </w:r>
      <w:r>
        <w:rPr>
          <w:rFonts w:eastAsia="Calibri"/>
          <w:lang w:eastAsia="en-US"/>
        </w:rPr>
        <w:t>реакциях</w:t>
      </w:r>
      <w:r w:rsidRPr="00945651">
        <w:rPr>
          <w:rFonts w:eastAsia="Calibri"/>
          <w:lang w:eastAsia="en-US"/>
        </w:rPr>
        <w:t xml:space="preserve">, возникающих при использовании лекарственных </w:t>
      </w:r>
      <w:r>
        <w:rPr>
          <w:rFonts w:eastAsia="Calibri"/>
          <w:lang w:eastAsia="en-US"/>
        </w:rPr>
        <w:t>препаратов</w:t>
      </w:r>
      <w:r w:rsidRPr="00945651">
        <w:rPr>
          <w:rFonts w:eastAsia="Calibri"/>
          <w:lang w:eastAsia="en-US"/>
        </w:rPr>
        <w:t>, произведённых компанией ТОО «КФК»</w:t>
      </w:r>
      <w:r w:rsidR="00C056F3">
        <w:rPr>
          <w:rFonts w:eastAsia="Calibri"/>
          <w:lang w:eastAsia="en-US"/>
        </w:rPr>
        <w:t xml:space="preserve">, следует сообщать в ТОО «КФК» </w:t>
      </w:r>
      <w:r w:rsidR="00137D8E">
        <w:rPr>
          <w:rFonts w:eastAsia="Calibri"/>
          <w:lang w:eastAsia="en-US"/>
        </w:rPr>
        <w:t xml:space="preserve">в </w:t>
      </w:r>
      <w:r w:rsidR="00C056F3">
        <w:rPr>
          <w:rFonts w:eastAsia="Calibri"/>
          <w:lang w:eastAsia="en-US"/>
        </w:rPr>
        <w:t>о</w:t>
      </w:r>
      <w:r w:rsidRPr="00945651">
        <w:rPr>
          <w:rFonts w:eastAsia="Calibri"/>
          <w:lang w:eastAsia="en-US"/>
        </w:rPr>
        <w:t>тдел фармако</w:t>
      </w:r>
      <w:r w:rsidR="00C056F3">
        <w:rPr>
          <w:rFonts w:eastAsia="Calibri"/>
          <w:lang w:eastAsia="en-US"/>
        </w:rPr>
        <w:t>надзора</w:t>
      </w:r>
      <w:r w:rsidRPr="00945651">
        <w:rPr>
          <w:rFonts w:eastAsia="Calibri"/>
          <w:lang w:eastAsia="en-US"/>
        </w:rPr>
        <w:t xml:space="preserve">: 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100009, г. Караганда, ул. Газалиева, стр. 16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Номер телефона 8</w:t>
      </w:r>
      <w:r w:rsidRPr="00945651">
        <w:rPr>
          <w:rFonts w:eastAsia="Calibri"/>
          <w:lang w:eastAsia="en-US"/>
        </w:rPr>
        <w:t xml:space="preserve"> (7</w:t>
      </w:r>
      <w:r>
        <w:rPr>
          <w:rFonts w:eastAsia="Calibri"/>
          <w:lang w:eastAsia="en-US"/>
        </w:rPr>
        <w:t>212) 90-80-43, факс (7212) 90-65-49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Адрес электронной почты medinfo@kphk.kz</w:t>
      </w:r>
      <w:r>
        <w:rPr>
          <w:rFonts w:eastAsia="Calibri"/>
          <w:lang w:eastAsia="en-US"/>
        </w:rPr>
        <w:t>.</w:t>
      </w:r>
    </w:p>
    <w:p w:rsidR="00A03D88" w:rsidRDefault="00A03D88" w:rsidP="009A632A">
      <w:pPr>
        <w:jc w:val="both"/>
        <w:rPr>
          <w:rFonts w:eastAsia="Calibri"/>
          <w:b/>
          <w:lang w:eastAsia="en-US"/>
        </w:rPr>
      </w:pPr>
    </w:p>
    <w:p w:rsidR="00A03D88" w:rsidRPr="00945651" w:rsidRDefault="00A03D88" w:rsidP="009A632A">
      <w:pPr>
        <w:jc w:val="both"/>
        <w:rPr>
          <w:rFonts w:eastAsia="Calibri"/>
          <w:b/>
          <w:lang w:eastAsia="en-US"/>
        </w:rPr>
      </w:pPr>
      <w:r w:rsidRPr="00945651">
        <w:rPr>
          <w:rFonts w:eastAsia="Calibri"/>
          <w:b/>
          <w:lang w:eastAsia="en-US"/>
        </w:rPr>
        <w:t>Адрес и номер телефона Компании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Если у вас возникнут какие-либо вопросы или потребуется дополнительная информация, вы можете </w:t>
      </w:r>
      <w:r w:rsidR="00137D8E" w:rsidRPr="00945651">
        <w:rPr>
          <w:rFonts w:eastAsia="Calibri"/>
          <w:lang w:eastAsia="en-US"/>
        </w:rPr>
        <w:t>обратиться</w:t>
      </w:r>
      <w:r w:rsidR="00137D8E">
        <w:rPr>
          <w:rFonts w:eastAsia="Calibri"/>
          <w:lang w:eastAsia="en-US"/>
        </w:rPr>
        <w:t xml:space="preserve"> в ТОО «КФК» </w:t>
      </w:r>
      <w:r w:rsidRPr="00945651">
        <w:rPr>
          <w:rFonts w:eastAsia="Calibri"/>
          <w:lang w:eastAsia="en-US"/>
        </w:rPr>
        <w:t xml:space="preserve">в </w:t>
      </w:r>
      <w:r w:rsidR="00137D8E">
        <w:rPr>
          <w:rFonts w:eastAsia="Calibri"/>
          <w:lang w:eastAsia="en-US"/>
        </w:rPr>
        <w:t>отдел фармаконадзора</w:t>
      </w:r>
      <w:bookmarkStart w:id="2" w:name="_GoBack"/>
      <w:bookmarkEnd w:id="2"/>
      <w:r w:rsidRPr="00945651">
        <w:rPr>
          <w:rFonts w:eastAsia="Calibri"/>
          <w:lang w:eastAsia="en-US"/>
        </w:rPr>
        <w:t xml:space="preserve">: 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100009, г. Караганда, ул. Газалиева, стр. 16</w:t>
      </w:r>
    </w:p>
    <w:p w:rsidR="00A03D88" w:rsidRPr="00945651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>Номер телефона (7212) 90-80-43, факс (7212)</w:t>
      </w:r>
      <w:r>
        <w:rPr>
          <w:rFonts w:eastAsia="Calibri"/>
          <w:lang w:eastAsia="en-US"/>
        </w:rPr>
        <w:t xml:space="preserve"> 90-65-49</w:t>
      </w:r>
    </w:p>
    <w:p w:rsidR="00EE44F6" w:rsidRPr="005B0D22" w:rsidRDefault="00A03D88" w:rsidP="009A632A">
      <w:pPr>
        <w:jc w:val="both"/>
        <w:rPr>
          <w:rFonts w:eastAsia="Calibri"/>
          <w:lang w:eastAsia="en-US"/>
        </w:rPr>
      </w:pPr>
      <w:r w:rsidRPr="00945651">
        <w:rPr>
          <w:rFonts w:eastAsia="Calibri"/>
          <w:lang w:eastAsia="en-US"/>
        </w:rPr>
        <w:t xml:space="preserve">Адрес электронной почты </w:t>
      </w:r>
      <w:r w:rsidRPr="00296860">
        <w:rPr>
          <w:rFonts w:eastAsia="Calibri"/>
          <w:lang w:eastAsia="en-US"/>
        </w:rPr>
        <w:t>medinfo@kphk.kz</w:t>
      </w:r>
      <w:r>
        <w:rPr>
          <w:rFonts w:eastAsia="Calibri"/>
          <w:lang w:eastAsia="en-US"/>
        </w:rPr>
        <w:t>.</w:t>
      </w:r>
    </w:p>
    <w:sectPr w:rsidR="00EE44F6" w:rsidRPr="005B0D22" w:rsidSect="00A03D8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39"/>
    <w:multiLevelType w:val="hybridMultilevel"/>
    <w:tmpl w:val="066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2760"/>
    <w:multiLevelType w:val="hybridMultilevel"/>
    <w:tmpl w:val="A038EADE"/>
    <w:lvl w:ilvl="0" w:tplc="4148C8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E79"/>
    <w:rsid w:val="00027B67"/>
    <w:rsid w:val="00084763"/>
    <w:rsid w:val="0008788E"/>
    <w:rsid w:val="000A6612"/>
    <w:rsid w:val="000D1F82"/>
    <w:rsid w:val="000D5087"/>
    <w:rsid w:val="00133C01"/>
    <w:rsid w:val="00137D8E"/>
    <w:rsid w:val="00141026"/>
    <w:rsid w:val="0015558C"/>
    <w:rsid w:val="001D480F"/>
    <w:rsid w:val="001E6635"/>
    <w:rsid w:val="001E68F1"/>
    <w:rsid w:val="001F564C"/>
    <w:rsid w:val="00212A20"/>
    <w:rsid w:val="00227039"/>
    <w:rsid w:val="00240875"/>
    <w:rsid w:val="002705CF"/>
    <w:rsid w:val="0027602D"/>
    <w:rsid w:val="002827D3"/>
    <w:rsid w:val="002A405E"/>
    <w:rsid w:val="002B66C5"/>
    <w:rsid w:val="002E2516"/>
    <w:rsid w:val="002E287A"/>
    <w:rsid w:val="002E46B5"/>
    <w:rsid w:val="00350783"/>
    <w:rsid w:val="00392676"/>
    <w:rsid w:val="00395E79"/>
    <w:rsid w:val="003977E5"/>
    <w:rsid w:val="003B6AAB"/>
    <w:rsid w:val="003D5875"/>
    <w:rsid w:val="003E5422"/>
    <w:rsid w:val="00402C68"/>
    <w:rsid w:val="00405AD7"/>
    <w:rsid w:val="004649DE"/>
    <w:rsid w:val="00470BAC"/>
    <w:rsid w:val="00476839"/>
    <w:rsid w:val="005015C6"/>
    <w:rsid w:val="00524F41"/>
    <w:rsid w:val="00535A6E"/>
    <w:rsid w:val="00566D72"/>
    <w:rsid w:val="00587BCE"/>
    <w:rsid w:val="005950A2"/>
    <w:rsid w:val="005B0D22"/>
    <w:rsid w:val="005C0E5C"/>
    <w:rsid w:val="005D4C2B"/>
    <w:rsid w:val="005F3858"/>
    <w:rsid w:val="0062358B"/>
    <w:rsid w:val="00653B40"/>
    <w:rsid w:val="006633FF"/>
    <w:rsid w:val="00672495"/>
    <w:rsid w:val="006847FB"/>
    <w:rsid w:val="006964D1"/>
    <w:rsid w:val="006A68BC"/>
    <w:rsid w:val="006C271F"/>
    <w:rsid w:val="006F5089"/>
    <w:rsid w:val="00716CB5"/>
    <w:rsid w:val="00725BBC"/>
    <w:rsid w:val="00741601"/>
    <w:rsid w:val="0076204D"/>
    <w:rsid w:val="00822909"/>
    <w:rsid w:val="00846E7F"/>
    <w:rsid w:val="008A20A1"/>
    <w:rsid w:val="008A5CA8"/>
    <w:rsid w:val="00953D18"/>
    <w:rsid w:val="009621F5"/>
    <w:rsid w:val="009671EB"/>
    <w:rsid w:val="009926D2"/>
    <w:rsid w:val="0099553E"/>
    <w:rsid w:val="009A632A"/>
    <w:rsid w:val="009C0728"/>
    <w:rsid w:val="009C24F2"/>
    <w:rsid w:val="009C5044"/>
    <w:rsid w:val="009D3195"/>
    <w:rsid w:val="009E134D"/>
    <w:rsid w:val="009E264D"/>
    <w:rsid w:val="009F203B"/>
    <w:rsid w:val="00A03D88"/>
    <w:rsid w:val="00A75F5C"/>
    <w:rsid w:val="00A80CAC"/>
    <w:rsid w:val="00AA41FA"/>
    <w:rsid w:val="00AB1225"/>
    <w:rsid w:val="00AD347E"/>
    <w:rsid w:val="00B0087F"/>
    <w:rsid w:val="00B4478D"/>
    <w:rsid w:val="00B57FDC"/>
    <w:rsid w:val="00B60486"/>
    <w:rsid w:val="00B61981"/>
    <w:rsid w:val="00B66368"/>
    <w:rsid w:val="00BC0051"/>
    <w:rsid w:val="00BC4C28"/>
    <w:rsid w:val="00BC5B33"/>
    <w:rsid w:val="00BF63AA"/>
    <w:rsid w:val="00C056F3"/>
    <w:rsid w:val="00C372B6"/>
    <w:rsid w:val="00C86247"/>
    <w:rsid w:val="00CF7D24"/>
    <w:rsid w:val="00D33787"/>
    <w:rsid w:val="00E040D1"/>
    <w:rsid w:val="00E10D8B"/>
    <w:rsid w:val="00E21866"/>
    <w:rsid w:val="00E67B40"/>
    <w:rsid w:val="00ED060E"/>
    <w:rsid w:val="00ED15B1"/>
    <w:rsid w:val="00EE44F6"/>
    <w:rsid w:val="00F14605"/>
    <w:rsid w:val="00F839E7"/>
    <w:rsid w:val="00FA0F2E"/>
    <w:rsid w:val="00FD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3D88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F564C"/>
    <w:pPr>
      <w:widowControl w:val="0"/>
      <w:spacing w:before="139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F56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A68BC"/>
    <w:pPr>
      <w:ind w:left="720"/>
      <w:contextualSpacing/>
    </w:pPr>
  </w:style>
  <w:style w:type="paragraph" w:customStyle="1" w:styleId="BodyText1">
    <w:name w:val="Body Text1"/>
    <w:basedOn w:val="a"/>
    <w:rsid w:val="0008788E"/>
    <w:pPr>
      <w:spacing w:after="120"/>
    </w:pPr>
    <w:rPr>
      <w:rFonts w:ascii="NTHarmonica" w:hAnsi="NTHarmonica"/>
      <w:szCs w:val="20"/>
    </w:rPr>
  </w:style>
  <w:style w:type="character" w:styleId="a7">
    <w:name w:val="annotation reference"/>
    <w:basedOn w:val="a0"/>
    <w:uiPriority w:val="99"/>
    <w:semiHidden/>
    <w:unhideWhenUsed/>
    <w:rsid w:val="006847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47F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4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47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47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dlc@dar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d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Полторак</cp:lastModifiedBy>
  <cp:revision>115</cp:revision>
  <dcterms:created xsi:type="dcterms:W3CDTF">2021-11-05T10:49:00Z</dcterms:created>
  <dcterms:modified xsi:type="dcterms:W3CDTF">2021-12-20T04:23:00Z</dcterms:modified>
</cp:coreProperties>
</file>