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F203B" w:rsidP="009F203B">
      <w:pPr>
        <w:bidi w:val="0"/>
        <w:spacing w:line="259" w:lineRule="auto"/>
        <w:jc w:val="center"/>
        <w:rPr>
          <w:rFonts w:eastAsia="Calibri"/>
          <w:b/>
          <w:sz w:val="28"/>
          <w:szCs w:val="28"/>
          <w:lang w:eastAsia="en-US"/>
        </w:rPr>
      </w:pPr>
      <w:r w:rsidRPr="009F203B">
        <w:rPr>
          <w:rFonts w:eastAsia="Calibri"/>
          <w:b/>
          <w:sz w:val="28"/>
          <w:szCs w:val="28"/>
          <w:rtl w:val="0"/>
          <w:lang w:val="kk" w:eastAsia="en-US"/>
        </w:rPr>
        <w:t>Препарат бойынша денсаулық сақтау мамандарына тікелей жүгіну</w:t>
      </w:r>
    </w:p>
    <w:p w:rsidR="009F203B" w:rsidP="009F203B">
      <w:pPr>
        <w:spacing w:line="259" w:lineRule="auto"/>
        <w:jc w:val="center"/>
        <w:rPr>
          <w:rFonts w:eastAsia="Calibri"/>
          <w:b/>
          <w:sz w:val="28"/>
          <w:szCs w:val="28"/>
          <w:lang w:eastAsia="en-US"/>
        </w:rPr>
      </w:pPr>
    </w:p>
    <w:p w:rsidR="006F5089" w:rsidRPr="00A81962" w:rsidP="006F5089">
      <w:pPr>
        <w:autoSpaceDE w:val="0"/>
        <w:autoSpaceDN w:val="0"/>
        <w:bidi w:val="0"/>
        <w:jc w:val="center"/>
        <w:rPr>
          <w:sz w:val="28"/>
          <w:szCs w:val="28"/>
        </w:rPr>
      </w:pPr>
      <w:r>
        <w:rPr>
          <w:rFonts w:eastAsia="Calibri"/>
          <w:b/>
          <w:sz w:val="28"/>
          <w:rtl w:val="0"/>
          <w:lang w:val="kk" w:eastAsia="en-US"/>
        </w:rPr>
        <w:t>Семиклотин, вена ішіне енгізу үшін ерітінді дайындауға арналған  лиофилизат 1.2 мг, 2.4 мг, еріткішпен жиынтықта (инъекцияға арналған су)</w:t>
      </w:r>
    </w:p>
    <w:p w:rsidR="00A03D88" w:rsidRPr="00945651" w:rsidP="00A03D88">
      <w:pPr>
        <w:spacing w:line="259" w:lineRule="auto"/>
        <w:jc w:val="both"/>
        <w:rPr>
          <w:rFonts w:eastAsia="Calibri"/>
          <w:b/>
          <w:lang w:eastAsia="en-US"/>
        </w:rPr>
      </w:pPr>
    </w:p>
    <w:p w:rsidR="00A03D88" w:rsidRPr="009F203B" w:rsidP="00A03D88">
      <w:pPr>
        <w:bidi w:val="0"/>
        <w:spacing w:line="259" w:lineRule="auto"/>
        <w:jc w:val="center"/>
        <w:rPr>
          <w:rFonts w:eastAsia="Calibri"/>
          <w:b/>
          <w:sz w:val="28"/>
          <w:szCs w:val="28"/>
          <w:lang w:eastAsia="en-US"/>
        </w:rPr>
      </w:pPr>
      <w:r w:rsidRPr="009F203B">
        <w:rPr>
          <w:rFonts w:eastAsia="Calibri"/>
          <w:b/>
          <w:sz w:val="28"/>
          <w:szCs w:val="28"/>
          <w:rtl w:val="0"/>
          <w:lang w:val="kk" w:eastAsia="en-US"/>
        </w:rPr>
        <w:t>Құрметті денсаулық сақтау мамандары!</w:t>
      </w:r>
    </w:p>
    <w:p w:rsidR="00A03D88" w:rsidRPr="001F63E5" w:rsidP="00A03D88">
      <w:pPr>
        <w:spacing w:line="259" w:lineRule="auto"/>
        <w:jc w:val="center"/>
        <w:rPr>
          <w:rFonts w:eastAsia="Calibri"/>
          <w:b/>
          <w:lang w:eastAsia="en-US"/>
        </w:rPr>
      </w:pPr>
    </w:p>
    <w:p w:rsidR="002B66C5" w:rsidRPr="001A6007" w:rsidP="00AB1225">
      <w:pPr>
        <w:bidi w:val="0"/>
        <w:spacing w:after="144" w:afterLines="60"/>
        <w:jc w:val="both"/>
        <w:rPr>
          <w:rFonts w:eastAsia="Calibri"/>
          <w:lang w:eastAsia="en-US"/>
        </w:rPr>
      </w:pPr>
      <w:r w:rsidRPr="001A6007">
        <w:rPr>
          <w:rFonts w:eastAsia="Calibri"/>
          <w:rtl w:val="0"/>
          <w:lang w:val="kk" w:eastAsia="en-US"/>
        </w:rPr>
        <w:t>«Қарағанды фармацевтикалық кешені» ЖШС (бұдан әрі - «ҚФК» ЖШС) Қазақстан Республикасы Денсаулық сақтау министрлігі Медициналық және фармацевтикалық бақылау комитетінің «</w:t>
      </w:r>
      <w:r w:rsidRPr="001A6007">
        <w:rPr>
          <w:rFonts w:eastAsia="Calibri"/>
          <w:i/>
          <w:rtl w:val="0"/>
          <w:lang w:val="kk" w:eastAsia="en-US"/>
        </w:rPr>
        <w:t xml:space="preserve">Дәрілік заттар мен медициналық бұйымдарды сараптау ұлттық орталығы» ШЖҚ РМК </w:t>
      </w:r>
      <w:r w:rsidRPr="001A6007">
        <w:rPr>
          <w:rFonts w:eastAsia="Calibri"/>
          <w:rtl w:val="0"/>
          <w:lang w:val="kk" w:eastAsia="en-US"/>
        </w:rPr>
        <w:t>(ДЗМБСҰО) келісімі бойынша, Сізге келесіні хабарлайды:</w:t>
      </w:r>
    </w:p>
    <w:p w:rsidR="001F564C" w:rsidP="00A03D88">
      <w:pPr>
        <w:spacing w:line="259" w:lineRule="auto"/>
        <w:jc w:val="both"/>
        <w:rPr>
          <w:rFonts w:eastAsia="Calibri"/>
          <w:b/>
          <w:lang w:eastAsia="en-US"/>
        </w:rPr>
      </w:pPr>
    </w:p>
    <w:p w:rsidR="00A03D88" w:rsidRPr="00945651" w:rsidP="00A03D88">
      <w:pPr>
        <w:bidi w:val="0"/>
        <w:spacing w:line="259" w:lineRule="auto"/>
        <w:jc w:val="both"/>
        <w:rPr>
          <w:rFonts w:eastAsia="Calibri"/>
          <w:b/>
          <w:lang w:eastAsia="en-US"/>
        </w:rPr>
      </w:pPr>
      <w:r w:rsidRPr="00945651">
        <w:rPr>
          <w:rFonts w:eastAsia="Calibri"/>
          <w:b/>
          <w:rtl w:val="0"/>
          <w:lang w:val="kk" w:eastAsia="en-US"/>
        </w:rPr>
        <w:t>Қысқаша мазмұны</w:t>
      </w:r>
    </w:p>
    <w:p w:rsidR="00E10D8B" w:rsidP="00A03D88">
      <w:pPr>
        <w:spacing w:line="259" w:lineRule="auto"/>
        <w:jc w:val="both"/>
        <w:rPr>
          <w:rFonts w:eastAsia="Calibri"/>
          <w:lang w:eastAsia="en-US"/>
        </w:rPr>
      </w:pPr>
    </w:p>
    <w:p w:rsidR="00E21866" w:rsidP="00A03D88">
      <w:pPr>
        <w:bidi w:val="0"/>
        <w:spacing w:line="259" w:lineRule="auto"/>
        <w:jc w:val="both"/>
        <w:rPr>
          <w:rFonts w:eastAsia="Calibri"/>
          <w:lang w:eastAsia="en-US"/>
        </w:rPr>
      </w:pPr>
      <w:r>
        <w:rPr>
          <w:rFonts w:eastAsia="Calibri"/>
          <w:rtl w:val="0"/>
          <w:lang w:val="kk" w:eastAsia="en-US"/>
        </w:rPr>
        <w:t>Денсаулық сақтау мамандарына осы Тікелей жүгіну (ДМТЖ) 04.10.2021 ж.  бекітілген Семиклотин дәрілік препаратының жалпы сипаттамасы (ДПЖС)  негізінде дайындалған.</w:t>
      </w:r>
    </w:p>
    <w:p w:rsidR="00E21866" w:rsidP="00A03D88">
      <w:pPr>
        <w:spacing w:line="259" w:lineRule="auto"/>
        <w:jc w:val="both"/>
        <w:rPr>
          <w:rFonts w:eastAsia="Calibri"/>
          <w:lang w:eastAsia="en-US"/>
        </w:rPr>
      </w:pPr>
    </w:p>
    <w:p w:rsidR="0076204D" w:rsidP="00A03D88">
      <w:pPr>
        <w:bidi w:val="0"/>
        <w:spacing w:line="259" w:lineRule="auto"/>
        <w:jc w:val="both"/>
        <w:rPr>
          <w:rFonts w:eastAsia="Calibri"/>
          <w:lang w:eastAsia="en-US"/>
        </w:rPr>
      </w:pPr>
      <w:r w:rsidRPr="00945651">
        <w:rPr>
          <w:rFonts w:eastAsia="Calibri"/>
          <w:rtl w:val="0"/>
          <w:lang w:val="kk" w:eastAsia="en-US"/>
        </w:rPr>
        <w:t xml:space="preserve">Денсаулық сақтау жүйесінің қызметкерлеріне Семиклотин дәрілік препаратын  қолдану жөніндегі ұсынымдарға ерекше назар аудара отырып, осы ДМТЖ және  ДПЖС-мен мұқият танысу ұсынылады </w:t>
      </w:r>
    </w:p>
    <w:p w:rsidR="00E21866" w:rsidRPr="00945651" w:rsidP="00A03D88">
      <w:pPr>
        <w:spacing w:line="259" w:lineRule="auto"/>
        <w:jc w:val="both"/>
        <w:rPr>
          <w:rFonts w:eastAsia="Calibri"/>
          <w:bCs/>
          <w:lang w:eastAsia="en-US"/>
        </w:rPr>
      </w:pPr>
    </w:p>
    <w:p w:rsidR="00A03D88" w:rsidP="00A03D88">
      <w:pPr>
        <w:bidi w:val="0"/>
        <w:spacing w:line="259" w:lineRule="auto"/>
        <w:jc w:val="both"/>
        <w:rPr>
          <w:rFonts w:eastAsia="Calibri"/>
          <w:lang w:eastAsia="en-US"/>
        </w:rPr>
      </w:pPr>
      <w:r w:rsidRPr="00945651">
        <w:rPr>
          <w:rFonts w:eastAsia="Calibri"/>
          <w:rtl w:val="0"/>
          <w:lang w:val="kk" w:eastAsia="en-US"/>
        </w:rPr>
        <w:t>Төменде ең маңызды ақпараттың қысқаша мазмұны берілген.</w:t>
      </w:r>
    </w:p>
    <w:p w:rsidR="0076204D" w:rsidRPr="00945651" w:rsidP="00A03D88">
      <w:pPr>
        <w:spacing w:line="259" w:lineRule="auto"/>
        <w:jc w:val="both"/>
        <w:rPr>
          <w:rFonts w:eastAsia="Calibri"/>
          <w:lang w:eastAsia="en-US"/>
        </w:rPr>
      </w:pPr>
    </w:p>
    <w:p w:rsidR="00A03D88" w:rsidRPr="00945651" w:rsidP="00A03D88">
      <w:pPr>
        <w:bidi w:val="0"/>
        <w:spacing w:line="259" w:lineRule="auto"/>
        <w:jc w:val="both"/>
        <w:rPr>
          <w:rFonts w:eastAsia="Calibri"/>
          <w:b/>
          <w:lang w:eastAsia="en-US"/>
        </w:rPr>
      </w:pPr>
      <w:r>
        <w:rPr>
          <w:rFonts w:eastAsia="Calibri"/>
          <w:b/>
          <w:rtl w:val="0"/>
          <w:lang w:val="kk" w:eastAsia="en-US"/>
        </w:rPr>
        <w:t xml:space="preserve">Дозалау режимі </w:t>
      </w:r>
    </w:p>
    <w:p w:rsidR="0076204D" w:rsidP="0076204D">
      <w:pPr>
        <w:spacing w:line="259" w:lineRule="auto"/>
        <w:jc w:val="both"/>
        <w:rPr>
          <w:rFonts w:eastAsia="Calibri"/>
          <w:bCs/>
          <w:lang w:eastAsia="en-US"/>
        </w:rPr>
      </w:pPr>
    </w:p>
    <w:p w:rsidR="006A68BC" w:rsidRPr="006810A8" w:rsidP="006A68BC">
      <w:pPr>
        <w:bidi w:val="0"/>
        <w:jc w:val="both"/>
      </w:pPr>
      <w:r w:rsidRPr="006810A8">
        <w:rPr>
          <w:rtl w:val="0"/>
          <w:lang w:val="kk"/>
        </w:rPr>
        <w:t>Семиклотин препараты хирургиялық араласулар мен инвазиялық емшаралар  жүргізу кезінде қан кетуді тоқтату және алдын алу үшін пациенттердің  келесі тобында қолданылады:</w:t>
      </w:r>
    </w:p>
    <w:p w:rsidR="006A68BC" w:rsidRPr="006810A8" w:rsidP="006A68BC">
      <w:pPr>
        <w:pStyle w:val="ListParagraph"/>
        <w:numPr>
          <w:ilvl w:val="0"/>
          <w:numId w:val="2"/>
        </w:numPr>
        <w:bidi w:val="0"/>
        <w:jc w:val="both"/>
      </w:pPr>
      <w:r w:rsidRPr="006810A8">
        <w:rPr>
          <w:rtl w:val="0"/>
          <w:lang w:val="kk"/>
        </w:rPr>
        <w:t>- VIII немесе IX &gt; 5 БЕ ұю факторлары тежегіштерінің титрі бар тұқым қуалайтын гемофилияда (Бетезда бірлік);</w:t>
      </w:r>
    </w:p>
    <w:p w:rsidR="006A68BC" w:rsidRPr="006810A8" w:rsidP="006A68BC">
      <w:pPr>
        <w:pStyle w:val="ListParagraph"/>
        <w:numPr>
          <w:ilvl w:val="0"/>
          <w:numId w:val="2"/>
        </w:numPr>
        <w:bidi w:val="0"/>
        <w:jc w:val="both"/>
      </w:pPr>
      <w:r w:rsidRPr="006810A8">
        <w:rPr>
          <w:rtl w:val="0"/>
          <w:lang w:val="kk"/>
        </w:rPr>
        <w:t>- анамнез негізінде VIII факторды немесе IX факторды енгізуге күтілетін иммундық реакциясы бар тұқым қуалайтын гемофилияда;</w:t>
      </w:r>
    </w:p>
    <w:p w:rsidR="006A68BC" w:rsidRPr="006810A8" w:rsidP="006A68BC">
      <w:pPr>
        <w:pStyle w:val="ListParagraph"/>
        <w:numPr>
          <w:ilvl w:val="0"/>
          <w:numId w:val="2"/>
        </w:numPr>
        <w:bidi w:val="0"/>
        <w:jc w:val="both"/>
      </w:pPr>
      <w:r w:rsidRPr="006810A8">
        <w:rPr>
          <w:rtl w:val="0"/>
          <w:lang w:val="kk"/>
        </w:rPr>
        <w:t>- жүре пайда болған гемофилия;</w:t>
      </w:r>
    </w:p>
    <w:p w:rsidR="006A68BC" w:rsidRPr="006810A8" w:rsidP="006A68BC">
      <w:pPr>
        <w:pStyle w:val="ListParagraph"/>
        <w:numPr>
          <w:ilvl w:val="0"/>
          <w:numId w:val="2"/>
        </w:numPr>
        <w:bidi w:val="0"/>
        <w:jc w:val="both"/>
      </w:pPr>
      <w:r w:rsidRPr="006810A8">
        <w:rPr>
          <w:rtl w:val="0"/>
          <w:lang w:val="kk"/>
        </w:rPr>
        <w:t>- VII фактордың туа біткен тапшылығымен;</w:t>
      </w:r>
    </w:p>
    <w:p w:rsidR="006A68BC" w:rsidP="006A68BC">
      <w:pPr>
        <w:pStyle w:val="ListParagraph"/>
        <w:numPr>
          <w:ilvl w:val="0"/>
          <w:numId w:val="2"/>
        </w:numPr>
        <w:bidi w:val="0"/>
        <w:jc w:val="both"/>
      </w:pPr>
      <w:r w:rsidRPr="006810A8">
        <w:rPr>
          <w:rtl w:val="0"/>
          <w:lang w:val="kk"/>
        </w:rPr>
        <w:t>- гликопротеиндерге IIb-IIIa антиденелері болған кезде Гланцман  тромбастениясымен және тромбоциттік масса трансфузияларына  рефрактерлікпен (қазіргі уақытта немесе бұрын).</w:t>
      </w:r>
    </w:p>
    <w:p w:rsidR="0076204D" w:rsidP="0076204D">
      <w:pPr>
        <w:spacing w:line="259" w:lineRule="auto"/>
        <w:jc w:val="both"/>
        <w:rPr>
          <w:rFonts w:eastAsia="Calibri"/>
          <w:bCs/>
          <w:lang w:eastAsia="en-US"/>
        </w:rPr>
      </w:pPr>
    </w:p>
    <w:p w:rsidR="00AD347E" w:rsidRPr="006810A8" w:rsidP="00AD347E">
      <w:pPr>
        <w:bidi w:val="0"/>
        <w:jc w:val="both"/>
      </w:pPr>
      <w:r w:rsidRPr="006810A8">
        <w:rPr>
          <w:rtl w:val="0"/>
          <w:lang w:val="kk"/>
        </w:rPr>
        <w:t>Емдеуді гемофилияны және/немесе ұю жүйесінің патологиясын емдеуде тәжірибесі бар дәрігердің бақылауымен бастау керек.</w:t>
      </w:r>
    </w:p>
    <w:p w:rsidR="00AD347E" w:rsidP="0076204D">
      <w:pPr>
        <w:spacing w:line="259" w:lineRule="auto"/>
        <w:jc w:val="both"/>
        <w:rPr>
          <w:rFonts w:eastAsia="Calibri"/>
          <w:bCs/>
          <w:lang w:eastAsia="en-US"/>
        </w:rPr>
      </w:pPr>
    </w:p>
    <w:p w:rsidR="00AD347E" w:rsidRPr="006810A8" w:rsidP="00AD347E">
      <w:pPr>
        <w:bidi w:val="0"/>
        <w:jc w:val="both"/>
        <w:rPr>
          <w:u w:val="single"/>
        </w:rPr>
      </w:pPr>
      <w:bookmarkStart w:id="0" w:name="_Hlk49164403"/>
      <w:r w:rsidRPr="006810A8">
        <w:rPr>
          <w:u w:val="single"/>
          <w:rtl w:val="0"/>
          <w:lang w:val="kk"/>
        </w:rPr>
        <w:t>Тежегіштері бар немесе VIII факторды немесе IX факторды енгізуге күтілетін иммундық реакциясы бар А немесе В гемофилиясы</w:t>
      </w:r>
    </w:p>
    <w:p w:rsidR="00AD347E" w:rsidRPr="006810A8" w:rsidP="00AD347E">
      <w:pPr>
        <w:bidi w:val="0"/>
        <w:jc w:val="both"/>
      </w:pPr>
      <w:bookmarkStart w:id="1" w:name="_Hlk49164491"/>
      <w:bookmarkEnd w:id="0"/>
      <w:r w:rsidRPr="006810A8">
        <w:rPr>
          <w:rtl w:val="0"/>
          <w:lang w:val="kk"/>
        </w:rPr>
        <w:t>Препаратты енгізуді қан кету басталғаннан кейін мүмкіндігінше тезірек бастау керек. Вена ішіне сорғалатып енгізілетін ұсынылатын бастапқы доза пациенттің дене салмағының кг шаққанда 90 мкг құрайды. Бастапқы дозаны енгізгеннен кейін қайталама инъекциялар қажет болуы мүмкін. Емдеу ұзақтығы мен инъекциялар арасындағы аралық қан кетудің ауырлығымен немесе инвазиялық емшараның немесе хирургиялық араласудың сипатымен анықталады.</w:t>
      </w:r>
    </w:p>
    <w:p w:rsidR="00AD347E" w:rsidRPr="006810A8" w:rsidP="00AD347E">
      <w:pPr>
        <w:bidi w:val="0"/>
        <w:jc w:val="both"/>
        <w:rPr>
          <w:i/>
          <w:iCs/>
        </w:rPr>
      </w:pPr>
      <w:r w:rsidRPr="006810A8">
        <w:rPr>
          <w:i/>
          <w:iCs/>
          <w:rtl w:val="0"/>
          <w:lang w:val="kk"/>
        </w:rPr>
        <w:t>Балалар</w:t>
      </w:r>
    </w:p>
    <w:p w:rsidR="00AD347E" w:rsidRPr="006810A8" w:rsidP="00AD347E">
      <w:pPr>
        <w:bidi w:val="0"/>
        <w:jc w:val="both"/>
        <w:rPr>
          <w:b/>
          <w:i/>
        </w:rPr>
      </w:pPr>
      <w:r w:rsidRPr="006810A8">
        <w:rPr>
          <w:rtl w:val="0"/>
          <w:lang w:val="kk"/>
        </w:rPr>
        <w:t xml:space="preserve">Қазіргі клиникалық тәжірибе балалар мен ересектер үшін сараланған дозалау режимін ұсынуға мүмкіндік бермейді, дегенмен балалардағы клиренс жоғары екені белгілі. Сондықтан педиатриялық практикада ересек пациенттердің плазмасындағы концентрацияға ұқсас препараттың плазмадағы концентрациясына қол жеткізу үшін rFVIIа қанның ұю факторының неғұрлым жоғары дозаларын қолдану қажеттілігі туындауы мүмкін (5.2-бөлімді қараңыз). </w:t>
      </w:r>
    </w:p>
    <w:bookmarkEnd w:id="1"/>
    <w:p w:rsidR="00AD347E" w:rsidRPr="006810A8" w:rsidP="00AD347E">
      <w:pPr>
        <w:bidi w:val="0"/>
        <w:jc w:val="both"/>
        <w:rPr>
          <w:i/>
        </w:rPr>
      </w:pPr>
      <w:r w:rsidRPr="006810A8">
        <w:rPr>
          <w:i/>
          <w:rtl w:val="0"/>
          <w:lang w:val="kk"/>
        </w:rPr>
        <w:t>Препаратты енгізу жиілігі</w:t>
      </w:r>
    </w:p>
    <w:p w:rsidR="00AD347E" w:rsidRPr="006810A8" w:rsidP="00AD347E">
      <w:pPr>
        <w:bidi w:val="0"/>
        <w:jc w:val="both"/>
        <w:rPr>
          <w:lang w:val="kk-KZ"/>
        </w:rPr>
      </w:pPr>
      <w:r w:rsidRPr="006810A8">
        <w:rPr>
          <w:rtl w:val="0"/>
          <w:lang w:val="kk"/>
        </w:rPr>
        <w:t xml:space="preserve">Гемостазға қол жеткізгенге дейін әр 2-3 сағат сайын. </w:t>
      </w:r>
    </w:p>
    <w:p w:rsidR="00AD347E" w:rsidRPr="006810A8" w:rsidP="00AD347E">
      <w:pPr>
        <w:bidi w:val="0"/>
        <w:jc w:val="both"/>
        <w:rPr>
          <w:b/>
          <w:i/>
        </w:rPr>
      </w:pPr>
      <w:r w:rsidRPr="006810A8">
        <w:rPr>
          <w:rtl w:val="0"/>
          <w:lang w:val="kk"/>
        </w:rPr>
        <w:t>Егер қан кетуді тоқтатқаннан кейін емдеуді жалғастыру үшін көрсетілімдер болса, онда препаратты енгізу арасындағы аралықтар көрсетілімдерге сәйкес емдеудің барлық кезеңінде 4, 6, 8 немесе 12 сағатқа дейін рет-ретімен ұлғайтылуы мүмкін.</w:t>
      </w:r>
    </w:p>
    <w:p w:rsidR="00AD347E" w:rsidRPr="006810A8" w:rsidP="00AD347E">
      <w:pPr>
        <w:bidi w:val="0"/>
        <w:jc w:val="both"/>
        <w:rPr>
          <w:i/>
        </w:rPr>
      </w:pPr>
      <w:r w:rsidRPr="006810A8">
        <w:rPr>
          <w:i/>
          <w:rtl w:val="0"/>
          <w:lang w:val="kk"/>
        </w:rPr>
        <w:t>Ауырлығы жеңіл және орташа дәрежедегі қан кетулер (амбулаториялық емдеуді қоса)</w:t>
      </w:r>
    </w:p>
    <w:p w:rsidR="00AD347E" w:rsidRPr="006810A8" w:rsidP="00AD347E">
      <w:pPr>
        <w:bidi w:val="0"/>
        <w:jc w:val="both"/>
      </w:pPr>
      <w:r w:rsidRPr="006810A8">
        <w:rPr>
          <w:rtl w:val="0"/>
          <w:lang w:val="kk"/>
        </w:rPr>
        <w:t>Препаратты ерте енгізу ең тиімді болып табылады. Келесі дозалау режимі ұсынылады:</w:t>
      </w:r>
    </w:p>
    <w:p w:rsidR="00AD347E" w:rsidRPr="006810A8" w:rsidP="00AD347E">
      <w:pPr>
        <w:bidi w:val="0"/>
        <w:jc w:val="both"/>
      </w:pPr>
      <w:r w:rsidRPr="006810A8">
        <w:rPr>
          <w:rtl w:val="0"/>
          <w:lang w:val="kk"/>
        </w:rPr>
        <w:t>- әрбір үш сағат сайын дене салмағының кг шаққанда 90 мкг дозада бірден үш инъекцияға дейін. Әсерді ұстап тұру үшін дене салмағының кг-на 90 мкг есебінен Семиклотин препаратының бір қосымша дозасы тағайындалуы мүмкін.</w:t>
      </w:r>
    </w:p>
    <w:p w:rsidR="00AD347E" w:rsidRPr="006810A8" w:rsidP="00AD347E">
      <w:pPr>
        <w:bidi w:val="0"/>
        <w:jc w:val="both"/>
      </w:pPr>
      <w:r w:rsidRPr="006810A8">
        <w:rPr>
          <w:rtl w:val="0"/>
          <w:lang w:val="kk"/>
        </w:rPr>
        <w:t>- дене салмағының кг үшін 270 мкг есебінен бір реттік инъекция.</w:t>
      </w:r>
    </w:p>
    <w:p w:rsidR="00AD347E" w:rsidRPr="006810A8" w:rsidP="00AD347E">
      <w:pPr>
        <w:bidi w:val="0"/>
        <w:jc w:val="both"/>
      </w:pPr>
      <w:r w:rsidRPr="006810A8">
        <w:rPr>
          <w:rtl w:val="0"/>
          <w:lang w:val="kk"/>
        </w:rPr>
        <w:t xml:space="preserve">Амбулаториялық емдеу ұзақтығы 24 сағаттан аспауы тиіс. </w:t>
      </w:r>
    </w:p>
    <w:p w:rsidR="00AD347E" w:rsidRPr="006810A8" w:rsidP="00AD347E">
      <w:pPr>
        <w:bidi w:val="0"/>
        <w:jc w:val="both"/>
        <w:rPr>
          <w:i/>
          <w:iCs/>
        </w:rPr>
      </w:pPr>
      <w:r w:rsidRPr="006810A8">
        <w:rPr>
          <w:rtl w:val="0"/>
          <w:lang w:val="kk"/>
        </w:rPr>
        <w:t>Егде жастағы пациенттерде препаратты дене салмағының кг-на 270 мкг бір реттік дозада қолданудың клиникалық тәжірибесі жоқ.</w:t>
      </w:r>
    </w:p>
    <w:p w:rsidR="00AD347E" w:rsidRPr="006810A8" w:rsidP="00AD347E">
      <w:pPr>
        <w:bidi w:val="0"/>
        <w:jc w:val="both"/>
        <w:rPr>
          <w:i/>
        </w:rPr>
      </w:pPr>
      <w:r w:rsidRPr="006810A8">
        <w:rPr>
          <w:i/>
          <w:rtl w:val="0"/>
          <w:lang w:val="kk"/>
        </w:rPr>
        <w:t>Ауыр дәрежедегі қан кетулер</w:t>
      </w:r>
    </w:p>
    <w:p w:rsidR="00AD347E" w:rsidRPr="006810A8" w:rsidP="00AD347E">
      <w:pPr>
        <w:bidi w:val="0"/>
        <w:jc w:val="both"/>
        <w:rPr>
          <w:b/>
          <w:i/>
        </w:rPr>
      </w:pPr>
      <w:r w:rsidRPr="006810A8">
        <w:rPr>
          <w:rtl w:val="0"/>
          <w:lang w:val="kk"/>
        </w:rPr>
        <w:t>Препараттың ұсынылатын бастапқы дозасы дене салмағының кг-на 90 мкг құрайды және осы пациент әдетте емделетін стационарға тасымалдау кезеңінде енгізілуі мүмкін. Әрі қарай емдеу сызбасы қан кетудің типі мен ауырлығына байланысты. Емдеудің басында препарат клиникалық жақсару басталғанға дейін әрбір екі сағат сайын енгізіледі. Емді жалғастыруға көрсетілімдер болған кезде препаратты енгізу арасындағы аралықтар 1-2 тәулік ішінде 3 сағатқа дейін ұлғайтылуы мүмкін. Кейіннен препаратты енгізу арасындағы аралықты көрсетілімдерге сәйкес емдеудің барлық кезеңіне 4, 6, 8 немесе 12 сағатқа дейін ұлғайтуға болады. Ауыр қан кетуді емдеу ұзақтығы клиникалық көрсетілімдер болған кезде 2-3 апта немесе одан да ұзақ болуы мүмкін.</w:t>
      </w:r>
    </w:p>
    <w:p w:rsidR="00AD347E" w:rsidRPr="006810A8" w:rsidP="00AD347E">
      <w:pPr>
        <w:bidi w:val="0"/>
        <w:jc w:val="both"/>
        <w:rPr>
          <w:i/>
        </w:rPr>
      </w:pPr>
      <w:r w:rsidRPr="006810A8">
        <w:rPr>
          <w:i/>
          <w:rtl w:val="0"/>
          <w:lang w:val="kk"/>
        </w:rPr>
        <w:t>Инвазивті араласулар/хирургиялық операциялар</w:t>
      </w:r>
    </w:p>
    <w:p w:rsidR="00AD347E" w:rsidRPr="006810A8" w:rsidP="00AD347E">
      <w:pPr>
        <w:bidi w:val="0"/>
        <w:jc w:val="both"/>
        <w:rPr>
          <w:b/>
        </w:rPr>
      </w:pPr>
      <w:r w:rsidRPr="006810A8">
        <w:rPr>
          <w:rtl w:val="0"/>
          <w:lang w:val="kk"/>
        </w:rPr>
        <w:t>Тікелей араласудан бұрын пациенттің дене салмағының кг шаққанда 90 мкг бастапқы доза енгізіледі. Екінші доза 2 сағаттан кейін енгізіледі, содан  араласуға және пациенттің клиникалық жағдайына байланысты  препарат алғашқы 24-48 сағат ішінде 2-3 сағаттық аралықпен енгізіледі. Үлкен операцияларда емдеу препаратты жоғарыда ұсынылған дозада енгізу арасындағы 2-4 сағаттық аралықпен 6-7 тәулікке созылады. Емдеуді келесі 2 апта бойы жүргізген кезде препаратты енгізу арасындағы аралықтар 6-8 сағатқа дейін ұлғайтылуы мүмкін. Үлкен операциялардан кейін препаратты қолданудың жалпы ұзақтығы операциялық жара жазылғанға дейін 2-3 аптаны құрауы мүмкін.</w:t>
      </w:r>
    </w:p>
    <w:p w:rsidR="00AD347E" w:rsidP="00AD347E">
      <w:pPr>
        <w:jc w:val="both"/>
        <w:rPr>
          <w:u w:val="single"/>
        </w:rPr>
      </w:pPr>
    </w:p>
    <w:p w:rsidR="00AD347E" w:rsidRPr="006810A8" w:rsidP="00AD347E">
      <w:pPr>
        <w:bidi w:val="0"/>
        <w:jc w:val="both"/>
        <w:rPr>
          <w:u w:val="single"/>
        </w:rPr>
      </w:pPr>
      <w:r w:rsidRPr="006810A8">
        <w:rPr>
          <w:u w:val="single"/>
          <w:rtl w:val="0"/>
          <w:lang w:val="kk"/>
        </w:rPr>
        <w:t>Жүре пайда болған гемофилия</w:t>
      </w:r>
    </w:p>
    <w:p w:rsidR="00AD347E" w:rsidRPr="006810A8" w:rsidP="00AD347E">
      <w:pPr>
        <w:bidi w:val="0"/>
        <w:jc w:val="both"/>
      </w:pPr>
      <w:r w:rsidRPr="006810A8">
        <w:rPr>
          <w:rtl w:val="0"/>
          <w:lang w:val="kk"/>
        </w:rPr>
        <w:t xml:space="preserve">Семиклотин препаратын қан кету басталғаннан кейін неғұрлым ерте енгізу мүмкіндігі көрсетілген. Вена ішіне сорғалатып енгізілетін ұсынылатын бастапқы доза пациенттің дене салмағының кг шаққанда 90 мкг құрайды. Бірінші инъекциядан кейін қажет болған жағдайда Семиклотин препаратын енгізуді қайталауға болады. Емдеу ұзақтығы мен препаратты енгізу арасындағы аралық қан кетудің ауырлығымен  немесе инвазиялық емшараның немесе хирургиялық араласудың сипатымен  анықталады. </w:t>
      </w:r>
    </w:p>
    <w:p w:rsidR="00AD347E" w:rsidRPr="006810A8" w:rsidP="00AD347E">
      <w:pPr>
        <w:bidi w:val="0"/>
        <w:jc w:val="both"/>
      </w:pPr>
      <w:r w:rsidRPr="006810A8">
        <w:rPr>
          <w:rtl w:val="0"/>
          <w:lang w:val="kk"/>
        </w:rPr>
        <w:t>Бастапқы дозаны енгізген кезде аралық 2-3 сағатты құрауы тиіс. Гемостазға жеткеннен кейін емдеудің барлық кезеңіне препаратты енгізу  арасындағы аралықты 4, 6, 8 немесе 12 сағатқа дейін ұлғайтуға болады.</w:t>
      </w:r>
    </w:p>
    <w:p w:rsidR="00AD347E" w:rsidP="00AD347E">
      <w:pPr>
        <w:jc w:val="both"/>
        <w:rPr>
          <w:u w:val="single"/>
        </w:rPr>
      </w:pPr>
    </w:p>
    <w:p w:rsidR="00AD347E" w:rsidRPr="006810A8" w:rsidP="00AD347E">
      <w:pPr>
        <w:bidi w:val="0"/>
        <w:jc w:val="both"/>
        <w:rPr>
          <w:u w:val="single"/>
        </w:rPr>
      </w:pPr>
      <w:r w:rsidRPr="006810A8">
        <w:rPr>
          <w:u w:val="single"/>
          <w:rtl w:val="0"/>
          <w:lang w:val="kk"/>
        </w:rPr>
        <w:t>VII факторының тапшылығы</w:t>
      </w:r>
    </w:p>
    <w:p w:rsidR="00AD347E" w:rsidRPr="006810A8" w:rsidP="00AD347E">
      <w:pPr>
        <w:bidi w:val="0"/>
        <w:jc w:val="both"/>
      </w:pPr>
      <w:r w:rsidRPr="006810A8">
        <w:rPr>
          <w:rtl w:val="0"/>
          <w:lang w:val="kk"/>
        </w:rPr>
        <w:t>Хирургиялық араласулар немесе инвазивті емшаралар жүргізу кезінде қан кетуді тоқтату және қан кетудің алдын алу үшін ұсынылатын доза дене салмағының кг шаққанда 15-30 мкг құрайды. Препарат гемостазға жеткенге дейін әр 4-6 сағат сайын енгізіледі. Доза және енгізу жиілігі жеке тәртіппен нақтыланады.</w:t>
      </w:r>
    </w:p>
    <w:p w:rsidR="00AD347E" w:rsidRPr="006810A8" w:rsidP="00AD347E">
      <w:pPr>
        <w:bidi w:val="0"/>
        <w:jc w:val="both"/>
        <w:rPr>
          <w:i/>
          <w:lang w:val="kk-KZ"/>
        </w:rPr>
      </w:pPr>
      <w:r w:rsidRPr="006810A8">
        <w:rPr>
          <w:i/>
          <w:rtl w:val="0"/>
          <w:lang w:val="kk"/>
        </w:rPr>
        <w:t>Балалар</w:t>
      </w:r>
    </w:p>
    <w:p w:rsidR="00AD347E" w:rsidRPr="006810A8" w:rsidP="00AD347E">
      <w:pPr>
        <w:bidi w:val="0"/>
        <w:jc w:val="both"/>
      </w:pPr>
      <w:r w:rsidRPr="006810A8">
        <w:rPr>
          <w:rtl w:val="0"/>
          <w:lang w:val="kk"/>
        </w:rPr>
        <w:t xml:space="preserve">Ұзақ мерзімді алдын алудағы клиникалық тәжірибенің шектеулі деректері ауыр клиникалық фенотипі бар 12 жасқа дейінгі педиатриялық популяциядан жиналды (5.1-бөлімді қараңыз). </w:t>
      </w:r>
    </w:p>
    <w:p w:rsidR="00AD347E" w:rsidRPr="006810A8" w:rsidP="00AD347E">
      <w:pPr>
        <w:bidi w:val="0"/>
        <w:jc w:val="both"/>
        <w:rPr>
          <w:i/>
        </w:rPr>
      </w:pPr>
      <w:r w:rsidRPr="006810A8">
        <w:rPr>
          <w:rtl w:val="0"/>
          <w:lang w:val="kk"/>
        </w:rPr>
        <w:t>Алдын алу үшін инъекцияның дозасы мен жиілігі клиникалық әсерге негізделуі және жеке бейімделуі керек.</w:t>
      </w:r>
    </w:p>
    <w:p w:rsidR="00AD347E" w:rsidP="00AD347E">
      <w:pPr>
        <w:jc w:val="both"/>
        <w:rPr>
          <w:u w:val="single"/>
        </w:rPr>
      </w:pPr>
    </w:p>
    <w:p w:rsidR="00AD347E" w:rsidRPr="006810A8" w:rsidP="00AD347E">
      <w:pPr>
        <w:bidi w:val="0"/>
        <w:jc w:val="both"/>
        <w:rPr>
          <w:b/>
          <w:u w:val="single"/>
        </w:rPr>
      </w:pPr>
      <w:r w:rsidRPr="006810A8">
        <w:rPr>
          <w:u w:val="single"/>
          <w:rtl w:val="0"/>
          <w:lang w:val="kk"/>
        </w:rPr>
        <w:t>Гланцман тромбастениясы</w:t>
      </w:r>
    </w:p>
    <w:p w:rsidR="00AD347E" w:rsidRPr="006810A8" w:rsidP="00AD347E">
      <w:pPr>
        <w:bidi w:val="0"/>
        <w:jc w:val="both"/>
      </w:pPr>
      <w:r w:rsidRPr="006810A8">
        <w:rPr>
          <w:rtl w:val="0"/>
          <w:lang w:val="kk"/>
        </w:rPr>
        <w:t xml:space="preserve">Хирургиялық араласулар немесе инвазивті емшаралар жүргізу кезінде қан  кетуді бақылау және қан кетудің алдын алу үшін ұсынылатын доза дене  салмағының кг шаққанда 90 мкг (80-120 мкг) құрайды. Препарат әр 2 сағат сайын (1.5–2.5 сағат) енгізіледі. Тұрақты гемостазды қамтамасыз ету үшін кемінде үш доза қажет. Вена ішіне болюсті енгізу әдісі ұсынылады, өйткені тамшылатып енгізу кезінде препараттың тиімділігі төмендеуі мүмкін. </w:t>
      </w:r>
    </w:p>
    <w:p w:rsidR="00AD347E" w:rsidRPr="006810A8" w:rsidP="00AD347E">
      <w:pPr>
        <w:bidi w:val="0"/>
        <w:jc w:val="both"/>
      </w:pPr>
      <w:r w:rsidRPr="006810A8">
        <w:rPr>
          <w:rtl w:val="0"/>
          <w:lang w:val="kk"/>
        </w:rPr>
        <w:t>Рефрактерсіз Гланцман тромбастениясы бар науқастарда тромбоциттік масса таңдау препараты болып табылады.</w:t>
      </w:r>
    </w:p>
    <w:p w:rsidR="0015558C" w:rsidP="00F83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C5044" w:rsidRPr="009C5044" w:rsidP="00F83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rPr>
      </w:pPr>
      <w:r w:rsidRPr="009C5044">
        <w:rPr>
          <w:b/>
          <w:rtl w:val="0"/>
          <w:lang w:val="kk"/>
        </w:rPr>
        <w:t>Қолдану тәсілі</w:t>
      </w:r>
    </w:p>
    <w:p w:rsidR="00535A6E" w:rsidRPr="006810A8" w:rsidP="00535A6E">
      <w:pPr>
        <w:bidi w:val="0"/>
        <w:jc w:val="both"/>
      </w:pPr>
      <w:r>
        <w:rPr>
          <w:rtl w:val="0"/>
          <w:lang w:val="kk"/>
        </w:rPr>
        <w:t xml:space="preserve">Семиклотин препараты вена ішіне 2-5 минут ішінде баяу енгізіледі. </w:t>
      </w:r>
    </w:p>
    <w:p w:rsidR="002827D3" w:rsidP="009C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ru-RU"/>
        </w:rPr>
      </w:pPr>
      <w:r>
        <w:rPr>
          <w:rtl w:val="0"/>
          <w:lang w:val="kk" w:bidi="ru-RU"/>
        </w:rPr>
        <w:t>Семиклотин препаратының ерітіндісін ДПЖС және МҚН сәйкес дайындау керек.</w:t>
      </w:r>
    </w:p>
    <w:p w:rsidR="009C5044" w:rsidP="009C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ru-RU"/>
        </w:rPr>
      </w:pPr>
      <w:r>
        <w:rPr>
          <w:rtl w:val="0"/>
          <w:lang w:val="kk" w:bidi="ru-RU"/>
        </w:rPr>
        <w:t>Пациентке Семиклотин препаратының ерітіндісін дайындау және енгізу әдісін үйретіңіз.</w:t>
      </w:r>
    </w:p>
    <w:p w:rsidR="00BC5B33" w:rsidP="009C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bidi="ru-RU"/>
        </w:rPr>
      </w:pPr>
    </w:p>
    <w:p w:rsidR="00A03D88" w:rsidRPr="00296860" w:rsidP="00A03D88">
      <w:pPr>
        <w:bidi w:val="0"/>
        <w:spacing w:line="259" w:lineRule="auto"/>
        <w:jc w:val="both"/>
        <w:rPr>
          <w:rFonts w:eastAsia="Calibri"/>
          <w:b/>
          <w:lang w:eastAsia="en-US"/>
        </w:rPr>
      </w:pPr>
      <w:r w:rsidRPr="00296860">
        <w:rPr>
          <w:rFonts w:eastAsia="Calibri"/>
          <w:b/>
          <w:rtl w:val="0"/>
          <w:lang w:val="kk" w:eastAsia="en-US"/>
        </w:rPr>
        <w:t>Күмәнді жағымсыз реакциялар туралы хабарлау</w:t>
      </w:r>
    </w:p>
    <w:p w:rsidR="00A03D88" w:rsidRPr="00296860" w:rsidP="00A03D88">
      <w:pPr>
        <w:bidi w:val="0"/>
        <w:jc w:val="both"/>
      </w:pPr>
      <w:r w:rsidRPr="00296860">
        <w:rPr>
          <w:rtl w:val="0"/>
          <w:lang w:val="kk"/>
        </w:rPr>
        <w:t>Дәрілік препараттың  «пайда-қауіп» арақатынасын үздіксіз мониторингтеуді   қамтамасыз ету мақсатында дәрілік препаратты тіркеуден кейін күмән   тудыратын жағымсыз реакциялар туралы хабарлау маңызды.  Медициналық қызметкерлерге Қазақстан Республикасының жағымсыз реакциялар туралы ұлттық  хабарландыру жүйесі арқылы дәрілік препараттың кез келген күмәнді  жағымсыз реакциялары туралы мәлімдеуге кеңес беріледі:</w:t>
      </w:r>
    </w:p>
    <w:p w:rsidR="00A03D88" w:rsidRPr="00945651" w:rsidP="009A632A">
      <w:pPr>
        <w:shd w:val="clear" w:color="auto" w:fill="FFFFFF"/>
        <w:autoSpaceDE w:val="0"/>
        <w:autoSpaceDN w:val="0"/>
        <w:bidi w:val="0"/>
        <w:adjustRightInd w:val="0"/>
        <w:jc w:val="both"/>
        <w:rPr>
          <w:rFonts w:eastAsia="Calibri"/>
          <w:lang w:eastAsia="en-US"/>
        </w:rPr>
      </w:pPr>
      <w:r w:rsidRPr="00296860">
        <w:rPr>
          <w:rtl w:val="0"/>
          <w:lang w:val="kk"/>
        </w:rPr>
        <w:t xml:space="preserve">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 </w:t>
      </w:r>
      <w:hyperlink r:id="rId4" w:history="1">
        <w:r w:rsidRPr="00296860">
          <w:rPr>
            <w:rtl w:val="0"/>
            <w:lang w:val="kk"/>
          </w:rPr>
          <w:t>http://www.ndda.kz</w:t>
        </w:r>
      </w:hyperlink>
      <w:r w:rsidRPr="00296860">
        <w:rPr>
          <w:rtl w:val="0"/>
          <w:lang w:val="kk"/>
        </w:rPr>
        <w:t xml:space="preserve">, e-mail: </w:t>
      </w:r>
      <w:hyperlink r:id="rId5" w:history="1">
        <w:r w:rsidRPr="00373680">
          <w:rPr>
            <w:rStyle w:val="Hyperlink"/>
            <w:rFonts w:eastAsia="Calibri"/>
            <w:rtl w:val="0"/>
            <w:lang w:val="kk" w:eastAsia="en-US"/>
          </w:rPr>
          <w:t>pdlc@dari.kz</w:t>
        </w:r>
      </w:hyperlink>
      <w:r w:rsidRPr="00296860">
        <w:rPr>
          <w:rtl w:val="0"/>
          <w:lang w:val="kk"/>
        </w:rPr>
        <w:t>, телефон нөмірі 8 (7172) 78 98 28.</w:t>
      </w:r>
    </w:p>
    <w:p w:rsidR="00A03D88" w:rsidP="009A632A">
      <w:pPr>
        <w:jc w:val="both"/>
        <w:rPr>
          <w:rFonts w:eastAsia="Calibri"/>
          <w:lang w:eastAsia="en-US"/>
        </w:rPr>
      </w:pPr>
    </w:p>
    <w:p w:rsidR="00A03D88" w:rsidRPr="00945651" w:rsidP="009A632A">
      <w:pPr>
        <w:bidi w:val="0"/>
        <w:jc w:val="both"/>
        <w:rPr>
          <w:rFonts w:eastAsia="Calibri"/>
          <w:lang w:eastAsia="en-US"/>
        </w:rPr>
      </w:pPr>
      <w:r w:rsidRPr="00945651">
        <w:rPr>
          <w:rFonts w:eastAsia="Calibri"/>
          <w:rtl w:val="0"/>
          <w:lang w:val="kk" w:eastAsia="en-US"/>
        </w:rPr>
        <w:t xml:space="preserve">«ҚФК» ЖШС компаниясы өндірген дәрілік препараттарды пайдалану кезінде  туындайтын жағымсыз реакциялар туралы «ҚФК» ЖШС Фармакологиялық  қадағалау бөліміне хабарлау керек: </w:t>
      </w:r>
    </w:p>
    <w:p w:rsidR="00A03D88" w:rsidRPr="00945651" w:rsidP="009A632A">
      <w:pPr>
        <w:bidi w:val="0"/>
        <w:jc w:val="both"/>
        <w:rPr>
          <w:rFonts w:eastAsia="Calibri"/>
          <w:lang w:eastAsia="en-US"/>
        </w:rPr>
      </w:pPr>
      <w:r w:rsidRPr="00945651">
        <w:rPr>
          <w:rFonts w:eastAsia="Calibri"/>
          <w:rtl w:val="0"/>
          <w:lang w:val="kk" w:eastAsia="en-US"/>
        </w:rPr>
        <w:t>«Қарағанды фармацевтикалық кешені» ЖШС Қазақстан Республикасы</w:t>
      </w:r>
    </w:p>
    <w:p w:rsidR="00A03D88" w:rsidRPr="00945651" w:rsidP="009A632A">
      <w:pPr>
        <w:bidi w:val="0"/>
        <w:jc w:val="both"/>
        <w:rPr>
          <w:rFonts w:eastAsia="Calibri"/>
          <w:lang w:eastAsia="en-US"/>
        </w:rPr>
      </w:pPr>
      <w:r w:rsidRPr="00945651">
        <w:rPr>
          <w:rFonts w:eastAsia="Calibri"/>
          <w:rtl w:val="0"/>
          <w:lang w:val="kk" w:eastAsia="en-US"/>
        </w:rPr>
        <w:t>100009, Қарағанды қ., Ғазалиев к-сі, 16-құр.</w:t>
      </w:r>
    </w:p>
    <w:p w:rsidR="00A03D88" w:rsidRPr="00945651" w:rsidP="009A632A">
      <w:pPr>
        <w:bidi w:val="0"/>
        <w:jc w:val="both"/>
        <w:rPr>
          <w:rFonts w:eastAsia="Calibri"/>
          <w:lang w:eastAsia="en-US"/>
        </w:rPr>
      </w:pPr>
      <w:r>
        <w:rPr>
          <w:rFonts w:eastAsia="Calibri"/>
          <w:rtl w:val="0"/>
          <w:lang w:val="kk" w:eastAsia="en-US"/>
        </w:rPr>
        <w:t xml:space="preserve">Телефон нөмірі 8 (7212) 90-80-43, факс (7212) 90-65-49 </w:t>
      </w:r>
    </w:p>
    <w:p w:rsidR="00A03D88" w:rsidRPr="00945651" w:rsidP="009A632A">
      <w:pPr>
        <w:bidi w:val="0"/>
        <w:jc w:val="both"/>
        <w:rPr>
          <w:rFonts w:eastAsia="Calibri"/>
          <w:lang w:eastAsia="en-US"/>
        </w:rPr>
      </w:pPr>
      <w:r w:rsidRPr="00945651">
        <w:rPr>
          <w:rFonts w:eastAsia="Calibri"/>
          <w:rtl w:val="0"/>
          <w:lang w:val="kk" w:eastAsia="en-US"/>
        </w:rPr>
        <w:t>Электронды пошта medinfo@kphk.kz.</w:t>
      </w:r>
    </w:p>
    <w:p w:rsidR="00A03D88" w:rsidP="009A632A">
      <w:pPr>
        <w:jc w:val="both"/>
        <w:rPr>
          <w:rFonts w:eastAsia="Calibri"/>
          <w:b/>
          <w:lang w:eastAsia="en-US"/>
        </w:rPr>
      </w:pPr>
    </w:p>
    <w:p w:rsidR="00A03D88" w:rsidRPr="00945651" w:rsidP="009A632A">
      <w:pPr>
        <w:bidi w:val="0"/>
        <w:jc w:val="both"/>
        <w:rPr>
          <w:rFonts w:eastAsia="Calibri"/>
          <w:b/>
          <w:lang w:eastAsia="en-US"/>
        </w:rPr>
      </w:pPr>
      <w:r w:rsidRPr="00945651">
        <w:rPr>
          <w:rFonts w:eastAsia="Calibri"/>
          <w:b/>
          <w:rtl w:val="0"/>
          <w:lang w:val="kk" w:eastAsia="en-US"/>
        </w:rPr>
        <w:t>Компанияның мекенжайы және телефон нөмірі</w:t>
      </w:r>
    </w:p>
    <w:p w:rsidR="00A03D88" w:rsidRPr="00945651" w:rsidP="009A632A">
      <w:pPr>
        <w:bidi w:val="0"/>
        <w:jc w:val="both"/>
        <w:rPr>
          <w:rFonts w:eastAsia="Calibri"/>
          <w:lang w:eastAsia="en-US"/>
        </w:rPr>
      </w:pPr>
      <w:r w:rsidRPr="00945651">
        <w:rPr>
          <w:rFonts w:eastAsia="Calibri"/>
          <w:rtl w:val="0"/>
          <w:lang w:val="kk" w:eastAsia="en-US"/>
        </w:rPr>
        <w:t>Егер сізде қандай да бір сұрақтар туындаса немесе қосымша ақпарат қажет болса, Сіз «ҚФК» ЖШС  фармакологиялық  қадағалау бөліміне хабарласа  аласыз</w:t>
      </w:r>
      <w:bookmarkStart w:id="2" w:name="_GoBack"/>
      <w:bookmarkEnd w:id="2"/>
      <w:r w:rsidRPr="00945651">
        <w:rPr>
          <w:rFonts w:eastAsia="Calibri"/>
          <w:rtl w:val="0"/>
          <w:lang w:val="kk" w:eastAsia="en-US"/>
        </w:rPr>
        <w:t xml:space="preserve">: </w:t>
      </w:r>
    </w:p>
    <w:p w:rsidR="00A03D88" w:rsidRPr="00945651" w:rsidP="009A632A">
      <w:pPr>
        <w:bidi w:val="0"/>
        <w:jc w:val="both"/>
        <w:rPr>
          <w:rFonts w:eastAsia="Calibri"/>
          <w:lang w:eastAsia="en-US"/>
        </w:rPr>
      </w:pPr>
      <w:r w:rsidRPr="00945651">
        <w:rPr>
          <w:rFonts w:eastAsia="Calibri"/>
          <w:rtl w:val="0"/>
          <w:lang w:val="kk" w:eastAsia="en-US"/>
        </w:rPr>
        <w:t>«Қарағанды фармацевтикалық кешені» ЖШС Қазақстан Республикасы</w:t>
      </w:r>
    </w:p>
    <w:p w:rsidR="00A03D88" w:rsidRPr="00945651" w:rsidP="009A632A">
      <w:pPr>
        <w:bidi w:val="0"/>
        <w:jc w:val="both"/>
        <w:rPr>
          <w:rFonts w:eastAsia="Calibri"/>
          <w:lang w:eastAsia="en-US"/>
        </w:rPr>
      </w:pPr>
      <w:r w:rsidRPr="00945651">
        <w:rPr>
          <w:rFonts w:eastAsia="Calibri"/>
          <w:rtl w:val="0"/>
          <w:lang w:val="kk" w:eastAsia="en-US"/>
        </w:rPr>
        <w:t>100009, Қарағанды қ., Ғазалиев к-сі, 16-құр.</w:t>
      </w:r>
    </w:p>
    <w:p w:rsidR="00A03D88" w:rsidRPr="00945651" w:rsidP="009A632A">
      <w:pPr>
        <w:bidi w:val="0"/>
        <w:jc w:val="both"/>
        <w:rPr>
          <w:rFonts w:eastAsia="Calibri"/>
          <w:lang w:eastAsia="en-US"/>
        </w:rPr>
      </w:pPr>
      <w:r w:rsidRPr="00945651">
        <w:rPr>
          <w:rFonts w:eastAsia="Calibri"/>
          <w:rtl w:val="0"/>
          <w:lang w:val="kk" w:eastAsia="en-US"/>
        </w:rPr>
        <w:t>Телефон нөмірі (7212) 90-80-43, факс (7212) 90-65-49</w:t>
      </w:r>
    </w:p>
    <w:p w:rsidR="00EE44F6" w:rsidRPr="005B0D22" w:rsidP="009A632A">
      <w:pPr>
        <w:bidi w:val="0"/>
        <w:jc w:val="both"/>
        <w:rPr>
          <w:rFonts w:eastAsia="Calibri"/>
          <w:lang w:eastAsia="en-US"/>
        </w:rPr>
      </w:pPr>
      <w:r w:rsidRPr="00945651">
        <w:rPr>
          <w:rFonts w:eastAsia="Calibri"/>
          <w:rtl w:val="0"/>
          <w:lang w:val="kk" w:eastAsia="en-US"/>
        </w:rPr>
        <w:t>Электронды пошта medinfo@kphk.kz.</w:t>
      </w:r>
    </w:p>
    <w:sectPr w:rsidSect="00A03D88">
      <w:pgSz w:w="11906" w:h="16838"/>
      <w:pgMar w:top="567"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Harmonica">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26539"/>
    <w:multiLevelType w:val="hybridMultilevel"/>
    <w:tmpl w:val="066E28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7BE2760"/>
    <w:multiLevelType w:val="hybridMultilevel"/>
    <w:tmpl w:val="A038EAD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79"/>
    <w:rsid w:val="00027B67"/>
    <w:rsid w:val="00084763"/>
    <w:rsid w:val="0008788E"/>
    <w:rsid w:val="000A6612"/>
    <w:rsid w:val="000D1F82"/>
    <w:rsid w:val="000D5087"/>
    <w:rsid w:val="00133C01"/>
    <w:rsid w:val="00137D8E"/>
    <w:rsid w:val="00141026"/>
    <w:rsid w:val="0015558C"/>
    <w:rsid w:val="001A6007"/>
    <w:rsid w:val="001D480F"/>
    <w:rsid w:val="001E6635"/>
    <w:rsid w:val="001E68F1"/>
    <w:rsid w:val="001F564C"/>
    <w:rsid w:val="001F63E5"/>
    <w:rsid w:val="00212A20"/>
    <w:rsid w:val="00227039"/>
    <w:rsid w:val="00240875"/>
    <w:rsid w:val="002705CF"/>
    <w:rsid w:val="0027602D"/>
    <w:rsid w:val="002827D3"/>
    <w:rsid w:val="00296860"/>
    <w:rsid w:val="002A405E"/>
    <w:rsid w:val="002B66C5"/>
    <w:rsid w:val="002E2516"/>
    <w:rsid w:val="002E287A"/>
    <w:rsid w:val="002E46B5"/>
    <w:rsid w:val="00350783"/>
    <w:rsid w:val="00373680"/>
    <w:rsid w:val="00392676"/>
    <w:rsid w:val="00395E79"/>
    <w:rsid w:val="003977E5"/>
    <w:rsid w:val="003B6AAB"/>
    <w:rsid w:val="003D5875"/>
    <w:rsid w:val="003E5422"/>
    <w:rsid w:val="00402C68"/>
    <w:rsid w:val="00405AD7"/>
    <w:rsid w:val="004649DE"/>
    <w:rsid w:val="00470BAC"/>
    <w:rsid w:val="00476839"/>
    <w:rsid w:val="005015C6"/>
    <w:rsid w:val="00524F41"/>
    <w:rsid w:val="00535A6E"/>
    <w:rsid w:val="00566D72"/>
    <w:rsid w:val="00587BCE"/>
    <w:rsid w:val="005950A2"/>
    <w:rsid w:val="005B0D22"/>
    <w:rsid w:val="005C0E5C"/>
    <w:rsid w:val="005D4C2B"/>
    <w:rsid w:val="005F3858"/>
    <w:rsid w:val="0062358B"/>
    <w:rsid w:val="00653B40"/>
    <w:rsid w:val="006633FF"/>
    <w:rsid w:val="00672495"/>
    <w:rsid w:val="006810A8"/>
    <w:rsid w:val="006847FB"/>
    <w:rsid w:val="006964D1"/>
    <w:rsid w:val="006A68BC"/>
    <w:rsid w:val="006C271F"/>
    <w:rsid w:val="006F5089"/>
    <w:rsid w:val="00716CB5"/>
    <w:rsid w:val="00725BBC"/>
    <w:rsid w:val="00741601"/>
    <w:rsid w:val="0076204D"/>
    <w:rsid w:val="00822909"/>
    <w:rsid w:val="00846E7F"/>
    <w:rsid w:val="008A20A1"/>
    <w:rsid w:val="008A5CA8"/>
    <w:rsid w:val="00945651"/>
    <w:rsid w:val="00953D18"/>
    <w:rsid w:val="009621F5"/>
    <w:rsid w:val="009671EB"/>
    <w:rsid w:val="009926D2"/>
    <w:rsid w:val="0099553E"/>
    <w:rsid w:val="009A632A"/>
    <w:rsid w:val="009C0728"/>
    <w:rsid w:val="009C24F2"/>
    <w:rsid w:val="009C5044"/>
    <w:rsid w:val="009D3195"/>
    <w:rsid w:val="009E134D"/>
    <w:rsid w:val="009E264D"/>
    <w:rsid w:val="009F203B"/>
    <w:rsid w:val="00A03D88"/>
    <w:rsid w:val="00A75F5C"/>
    <w:rsid w:val="00A80CAC"/>
    <w:rsid w:val="00A81962"/>
    <w:rsid w:val="00AA41FA"/>
    <w:rsid w:val="00AB1225"/>
    <w:rsid w:val="00AD347E"/>
    <w:rsid w:val="00B0087F"/>
    <w:rsid w:val="00B4478D"/>
    <w:rsid w:val="00B57FDC"/>
    <w:rsid w:val="00B60486"/>
    <w:rsid w:val="00B61981"/>
    <w:rsid w:val="00B66368"/>
    <w:rsid w:val="00BC0051"/>
    <w:rsid w:val="00BC4C28"/>
    <w:rsid w:val="00BC5B33"/>
    <w:rsid w:val="00BF63AA"/>
    <w:rsid w:val="00C056F3"/>
    <w:rsid w:val="00C372B6"/>
    <w:rsid w:val="00C86247"/>
    <w:rsid w:val="00CF7D24"/>
    <w:rsid w:val="00D33787"/>
    <w:rsid w:val="00E040D1"/>
    <w:rsid w:val="00E10D8B"/>
    <w:rsid w:val="00E21866"/>
    <w:rsid w:val="00E67B40"/>
    <w:rsid w:val="00ED060E"/>
    <w:rsid w:val="00ED15B1"/>
    <w:rsid w:val="00EE44F6"/>
    <w:rsid w:val="00F14605"/>
    <w:rsid w:val="00F839E7"/>
    <w:rsid w:val="00FA0F2E"/>
    <w:rsid w:val="00FD49DF"/>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3D88"/>
    <w:rPr>
      <w:color w:val="0000FF"/>
      <w:u w:val="single"/>
    </w:rPr>
  </w:style>
  <w:style w:type="paragraph" w:styleId="BodyText">
    <w:name w:val="Body Text"/>
    <w:basedOn w:val="Normal"/>
    <w:link w:val="a"/>
    <w:uiPriority w:val="1"/>
    <w:qFormat/>
    <w:rsid w:val="001F564C"/>
    <w:pPr>
      <w:widowControl w:val="0"/>
      <w:spacing w:before="139"/>
      <w:ind w:left="102"/>
    </w:pPr>
    <w:rPr>
      <w:lang w:val="en-US" w:eastAsia="en-US"/>
    </w:rPr>
  </w:style>
  <w:style w:type="character" w:customStyle="1" w:styleId="a">
    <w:name w:val="Основной текст Знак"/>
    <w:basedOn w:val="DefaultParagraphFont"/>
    <w:link w:val="BodyText"/>
    <w:uiPriority w:val="1"/>
    <w:rsid w:val="001F564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A68BC"/>
    <w:pPr>
      <w:ind w:left="720"/>
      <w:contextualSpacing/>
    </w:pPr>
  </w:style>
  <w:style w:type="paragraph" w:customStyle="1" w:styleId="BodyText1">
    <w:name w:val="Body Text1"/>
    <w:basedOn w:val="Normal"/>
    <w:rsid w:val="0008788E"/>
    <w:pPr>
      <w:spacing w:after="120"/>
    </w:pPr>
    <w:rPr>
      <w:rFonts w:ascii="NTHarmonica" w:hAnsi="NTHarmonica"/>
      <w:szCs w:val="20"/>
    </w:rPr>
  </w:style>
  <w:style w:type="character" w:styleId="CommentReference">
    <w:name w:val="annotation reference"/>
    <w:basedOn w:val="DefaultParagraphFont"/>
    <w:uiPriority w:val="99"/>
    <w:semiHidden/>
    <w:unhideWhenUsed/>
    <w:rsid w:val="006847FB"/>
    <w:rPr>
      <w:sz w:val="16"/>
      <w:szCs w:val="16"/>
    </w:rPr>
  </w:style>
  <w:style w:type="paragraph" w:styleId="CommentText">
    <w:name w:val="annotation text"/>
    <w:basedOn w:val="Normal"/>
    <w:link w:val="a0"/>
    <w:uiPriority w:val="99"/>
    <w:semiHidden/>
    <w:unhideWhenUsed/>
    <w:rsid w:val="006847FB"/>
    <w:rPr>
      <w:sz w:val="20"/>
      <w:szCs w:val="20"/>
    </w:rPr>
  </w:style>
  <w:style w:type="character" w:customStyle="1" w:styleId="a0">
    <w:name w:val="Текст примечания Знак"/>
    <w:basedOn w:val="DefaultParagraphFont"/>
    <w:link w:val="CommentText"/>
    <w:uiPriority w:val="99"/>
    <w:semiHidden/>
    <w:rsid w:val="006847FB"/>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a1"/>
    <w:uiPriority w:val="99"/>
    <w:semiHidden/>
    <w:unhideWhenUsed/>
    <w:rsid w:val="006847FB"/>
    <w:rPr>
      <w:b/>
      <w:bCs/>
    </w:rPr>
  </w:style>
  <w:style w:type="character" w:customStyle="1" w:styleId="a1">
    <w:name w:val="Тема примечания Знак"/>
    <w:basedOn w:val="a0"/>
    <w:link w:val="CommentSubject"/>
    <w:uiPriority w:val="99"/>
    <w:semiHidden/>
    <w:rsid w:val="006847FB"/>
    <w:rPr>
      <w:rFonts w:ascii="Times New Roman" w:eastAsia="Times New Roman" w:hAnsi="Times New Roman" w:cs="Times New Roman"/>
      <w:b/>
      <w:bCs/>
      <w:sz w:val="20"/>
      <w:szCs w:val="20"/>
      <w:lang w:eastAsia="ru-RU"/>
    </w:rPr>
  </w:style>
  <w:style w:type="paragraph" w:styleId="BalloonText">
    <w:name w:val="Balloon Text"/>
    <w:basedOn w:val="Normal"/>
    <w:link w:val="a2"/>
    <w:uiPriority w:val="99"/>
    <w:semiHidden/>
    <w:unhideWhenUsed/>
    <w:rsid w:val="006847FB"/>
    <w:rPr>
      <w:rFonts w:ascii="Tahoma" w:hAnsi="Tahoma" w:cs="Tahoma"/>
      <w:sz w:val="16"/>
      <w:szCs w:val="16"/>
    </w:rPr>
  </w:style>
  <w:style w:type="character" w:customStyle="1" w:styleId="a2">
    <w:name w:val="Текст выноски Знак"/>
    <w:basedOn w:val="DefaultParagraphFont"/>
    <w:link w:val="BalloonText"/>
    <w:uiPriority w:val="99"/>
    <w:semiHidden/>
    <w:rsid w:val="006847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ndda.kz" TargetMode="External" /><Relationship Id="rId5" Type="http://schemas.openxmlformats.org/officeDocument/2006/relationships/hyperlink" Target="mailto:pdlc@dari.kz"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Полторак</cp:lastModifiedBy>
  <cp:revision>115</cp:revision>
  <dcterms:created xsi:type="dcterms:W3CDTF">2021-11-05T10:49:00Z</dcterms:created>
  <dcterms:modified xsi:type="dcterms:W3CDTF">2021-12-20T04:23:00Z</dcterms:modified>
</cp:coreProperties>
</file>