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66816" w14:textId="66F0CCFE" w:rsidR="003B6A77" w:rsidRPr="00B47E7A" w:rsidRDefault="0062690F" w:rsidP="0062690F">
      <w:pPr>
        <w:jc w:val="both"/>
        <w:rPr>
          <w:rStyle w:val="a3"/>
          <w:bCs w:val="0"/>
          <w:i w:val="0"/>
          <w:iCs w:val="0"/>
          <w:color w:val="auto"/>
          <w:sz w:val="28"/>
          <w:szCs w:val="28"/>
          <w:shd w:val="clear" w:color="auto" w:fill="auto"/>
          <w:lang w:bidi="ar-SA"/>
        </w:rPr>
      </w:pPr>
      <w:bookmarkStart w:id="0" w:name="_Hlk51314564"/>
      <w:r w:rsidRPr="00B47E7A">
        <w:rPr>
          <w:b/>
          <w:sz w:val="28"/>
          <w:szCs w:val="28"/>
        </w:rPr>
        <w:t xml:space="preserve">Памятка для пациентов по применению лекарственного средства Октоклотин, </w:t>
      </w:r>
      <w:r w:rsidRPr="00B47E7A">
        <w:rPr>
          <w:b/>
          <w:bCs/>
          <w:sz w:val="28"/>
          <w:szCs w:val="28"/>
        </w:rPr>
        <w:t>лиофилизат для приготовления раствора для внутривенного введения в комплекте с растворителем – натрия хлорида раствором 0.9% для инъекций 500 МЕ, 1000 МЕ, 2000 МЕ</w:t>
      </w:r>
      <w:r w:rsidRPr="00B47E7A">
        <w:rPr>
          <w:b/>
          <w:sz w:val="28"/>
          <w:szCs w:val="28"/>
        </w:rPr>
        <w:t>. Рекомендации по применению препарата.</w:t>
      </w:r>
    </w:p>
    <w:p w14:paraId="5AB3CCF0" w14:textId="77777777" w:rsidR="003B6A77" w:rsidRPr="00B47E7A" w:rsidRDefault="003B6A77" w:rsidP="003B6A77">
      <w:pPr>
        <w:spacing w:line="256" w:lineRule="auto"/>
        <w:jc w:val="both"/>
        <w:rPr>
          <w:rFonts w:eastAsia="Calibri"/>
          <w:lang w:val="kk-KZ" w:eastAsia="en-US"/>
        </w:rPr>
      </w:pPr>
      <w:r w:rsidRPr="00B47E7A">
        <w:rPr>
          <w:rFonts w:eastAsia="Calibri"/>
          <w:lang w:val="kk-KZ" w:eastAsia="en-US"/>
        </w:rPr>
        <w:t>&lt;Дата&gt;</w:t>
      </w:r>
    </w:p>
    <w:p w14:paraId="0830BFC0" w14:textId="23433D1D" w:rsidR="003B6A77" w:rsidRPr="00B47E7A" w:rsidRDefault="0062690F" w:rsidP="003B6A77">
      <w:pPr>
        <w:spacing w:line="256" w:lineRule="auto"/>
        <w:jc w:val="center"/>
        <w:rPr>
          <w:rFonts w:eastAsia="Calibri"/>
          <w:b/>
          <w:bCs/>
          <w:sz w:val="28"/>
          <w:szCs w:val="28"/>
          <w:lang w:eastAsia="en-US"/>
        </w:rPr>
      </w:pPr>
      <w:r w:rsidRPr="00B47E7A">
        <w:rPr>
          <w:rFonts w:eastAsia="Calibri"/>
          <w:b/>
          <w:bCs/>
          <w:sz w:val="28"/>
          <w:szCs w:val="28"/>
          <w:lang w:eastAsia="en-US"/>
        </w:rPr>
        <w:t>Уважаемый пациент!</w:t>
      </w:r>
    </w:p>
    <w:p w14:paraId="658C3E00" w14:textId="5033763E" w:rsidR="0062690F" w:rsidRPr="00B47E7A" w:rsidRDefault="0062690F" w:rsidP="003B6A77">
      <w:pPr>
        <w:spacing w:line="256" w:lineRule="auto"/>
        <w:jc w:val="center"/>
        <w:rPr>
          <w:rFonts w:eastAsia="Calibri"/>
          <w:lang w:eastAsia="en-US"/>
        </w:rPr>
      </w:pPr>
    </w:p>
    <w:p w14:paraId="0D0F7899" w14:textId="7E886C9C" w:rsidR="0062690F" w:rsidRPr="00B47E7A" w:rsidRDefault="0062690F" w:rsidP="0062690F">
      <w:pPr>
        <w:spacing w:afterLines="60" w:after="144"/>
        <w:jc w:val="both"/>
        <w:rPr>
          <w:rFonts w:eastAsia="Calibri"/>
          <w:lang w:eastAsia="en-US"/>
        </w:rPr>
      </w:pPr>
      <w:r w:rsidRPr="00B47E7A">
        <w:rPr>
          <w:rFonts w:eastAsia="Calibri"/>
          <w:lang w:eastAsia="en-US"/>
        </w:rPr>
        <w:t>ТОО «Карагандинский фармацевтический комплекс» (далее ТОО «КФК»), по соглашению с РГП на ПХВ «</w:t>
      </w:r>
      <w:r w:rsidRPr="00B47E7A">
        <w:rPr>
          <w:rFonts w:eastAsia="Calibri"/>
          <w:i/>
          <w:lang w:eastAsia="en-US"/>
        </w:rPr>
        <w:t xml:space="preserve">Национальный центр экспертизы лекарственных средств и медицинских изделий» ККК и БТУ Министерства здравоохранения Республики Казахстан </w:t>
      </w:r>
      <w:r w:rsidRPr="00B47E7A">
        <w:rPr>
          <w:rFonts w:eastAsia="Calibri"/>
          <w:lang w:eastAsia="en-US"/>
        </w:rPr>
        <w:t>(НЦЭЛС), сообщ</w:t>
      </w:r>
      <w:r w:rsidR="001E0D51" w:rsidRPr="00B47E7A">
        <w:rPr>
          <w:rFonts w:eastAsia="Calibri"/>
          <w:lang w:eastAsia="en-US"/>
        </w:rPr>
        <w:t>ает</w:t>
      </w:r>
      <w:r w:rsidRPr="00B47E7A">
        <w:rPr>
          <w:rFonts w:eastAsia="Calibri"/>
          <w:lang w:eastAsia="en-US"/>
        </w:rPr>
        <w:t xml:space="preserve"> Вам следующ</w:t>
      </w:r>
      <w:r w:rsidR="001E0D51" w:rsidRPr="00B47E7A">
        <w:rPr>
          <w:rFonts w:eastAsia="Calibri"/>
          <w:lang w:eastAsia="en-US"/>
        </w:rPr>
        <w:t>ую информацию</w:t>
      </w:r>
      <w:r w:rsidRPr="00B47E7A">
        <w:rPr>
          <w:rFonts w:eastAsia="Calibri"/>
          <w:lang w:eastAsia="en-US"/>
        </w:rPr>
        <w:t>:</w:t>
      </w:r>
    </w:p>
    <w:p w14:paraId="781C29AB" w14:textId="5C0A13AF" w:rsidR="0062690F" w:rsidRPr="00B47E7A" w:rsidRDefault="0062690F" w:rsidP="0062690F">
      <w:pPr>
        <w:spacing w:afterLines="60" w:after="144"/>
        <w:jc w:val="both"/>
        <w:rPr>
          <w:rFonts w:eastAsia="Calibri"/>
          <w:bCs/>
          <w:lang w:eastAsia="en-US"/>
        </w:rPr>
      </w:pPr>
      <w:r w:rsidRPr="00B47E7A">
        <w:rPr>
          <w:rFonts w:eastAsia="Calibri"/>
          <w:lang w:eastAsia="en-US"/>
        </w:rPr>
        <w:t xml:space="preserve">Согласно </w:t>
      </w:r>
      <w:r w:rsidR="00ED3A3F" w:rsidRPr="00B47E7A">
        <w:rPr>
          <w:rFonts w:eastAsia="Calibri"/>
          <w:lang w:eastAsia="en-US"/>
        </w:rPr>
        <w:t xml:space="preserve">общей характеристике лекарственного препарата и </w:t>
      </w:r>
      <w:r w:rsidRPr="00B47E7A">
        <w:rPr>
          <w:rFonts w:eastAsia="Calibri"/>
          <w:lang w:eastAsia="en-US"/>
        </w:rPr>
        <w:t xml:space="preserve">инструкции по медицинскому применению (ИМП), подготовлена Памятка по применению препарата </w:t>
      </w:r>
      <w:r w:rsidR="00ED3A3F" w:rsidRPr="00B47E7A">
        <w:rPr>
          <w:rFonts w:eastAsia="Calibri"/>
          <w:lang w:eastAsia="en-US"/>
        </w:rPr>
        <w:t>Октоклотин</w:t>
      </w:r>
      <w:r w:rsidRPr="00B47E7A">
        <w:rPr>
          <w:rFonts w:eastAsia="Calibri"/>
          <w:lang w:eastAsia="en-US"/>
        </w:rPr>
        <w:t xml:space="preserve">. Рекомендуется внимательно ознакомиться с данной Памяткой и ИМП, обратив особое внимание на рекомендации по дозированию </w:t>
      </w:r>
      <w:r w:rsidR="00ED3A3F" w:rsidRPr="00B47E7A">
        <w:rPr>
          <w:rFonts w:eastAsia="Calibri"/>
          <w:lang w:eastAsia="en-US"/>
        </w:rPr>
        <w:t xml:space="preserve">и способу введения </w:t>
      </w:r>
      <w:r w:rsidRPr="00B47E7A">
        <w:rPr>
          <w:rFonts w:eastAsia="Calibri"/>
          <w:lang w:eastAsia="en-US"/>
        </w:rPr>
        <w:t xml:space="preserve">препарата. </w:t>
      </w:r>
      <w:r w:rsidRPr="00B47E7A">
        <w:rPr>
          <w:rFonts w:eastAsia="Calibri"/>
          <w:bCs/>
          <w:lang w:eastAsia="en-US"/>
        </w:rPr>
        <w:t xml:space="preserve">Лечение препаратом </w:t>
      </w:r>
      <w:r w:rsidR="00ED3A3F" w:rsidRPr="00B47E7A">
        <w:rPr>
          <w:rFonts w:eastAsia="Calibri"/>
          <w:lang w:eastAsia="en-US"/>
        </w:rPr>
        <w:t>Октоклотин</w:t>
      </w:r>
      <w:r w:rsidRPr="00B47E7A">
        <w:rPr>
          <w:rFonts w:eastAsia="Calibri"/>
          <w:bCs/>
          <w:lang w:eastAsia="en-US"/>
        </w:rPr>
        <w:t xml:space="preserve"> следует начинать под наблюдением врача, имеющего опыт лечения </w:t>
      </w:r>
      <w:r w:rsidR="00ED3A3F" w:rsidRPr="00B47E7A">
        <w:rPr>
          <w:rFonts w:eastAsia="Calibri"/>
          <w:bCs/>
          <w:lang w:eastAsia="en-US"/>
        </w:rPr>
        <w:t>гемофилии А</w:t>
      </w:r>
    </w:p>
    <w:p w14:paraId="6B776C98" w14:textId="77777777" w:rsidR="0062690F" w:rsidRPr="00B47E7A" w:rsidRDefault="0062690F" w:rsidP="0062690F">
      <w:pPr>
        <w:spacing w:afterLines="60" w:after="144"/>
        <w:jc w:val="both"/>
        <w:rPr>
          <w:rFonts w:eastAsia="Calibri"/>
          <w:lang w:eastAsia="en-US"/>
        </w:rPr>
      </w:pPr>
      <w:r w:rsidRPr="00B47E7A">
        <w:rPr>
          <w:rFonts w:eastAsia="Calibri"/>
          <w:lang w:eastAsia="en-US"/>
        </w:rPr>
        <w:t>Ниже приводится краткое изложение наиболее важной информации.</w:t>
      </w:r>
    </w:p>
    <w:p w14:paraId="5046FDF2" w14:textId="77777777" w:rsidR="005150AE" w:rsidRPr="00B47E7A" w:rsidRDefault="005150AE" w:rsidP="005150AE">
      <w:pPr>
        <w:contextualSpacing/>
        <w:jc w:val="both"/>
        <w:rPr>
          <w:color w:val="000000"/>
          <w:lang w:bidi="ru-RU"/>
        </w:rPr>
      </w:pPr>
      <w:r w:rsidRPr="00B47E7A">
        <w:rPr>
          <w:b/>
          <w:bCs/>
          <w:color w:val="000000"/>
          <w:lang w:bidi="ru-RU"/>
        </w:rPr>
        <w:t>Режим дозирования</w:t>
      </w:r>
    </w:p>
    <w:p w14:paraId="7AF17EFB" w14:textId="46B3AE9B" w:rsidR="005150AE" w:rsidRPr="00B47E7A" w:rsidRDefault="005150AE" w:rsidP="005150AE">
      <w:pPr>
        <w:contextualSpacing/>
        <w:jc w:val="both"/>
        <w:rPr>
          <w:lang w:bidi="ru-RU"/>
        </w:rPr>
      </w:pPr>
      <w:r w:rsidRPr="00B47E7A">
        <w:t xml:space="preserve">Доза и продолжительность заместительной терапии зависят от степени выраженности дефицита фактора VIII, локализации и степени кровотечения, а также от клинического состояния пациента. Принимаемые дозы должны подбираться соответственно клиническому ответу пациента. </w:t>
      </w:r>
    </w:p>
    <w:p w14:paraId="1DA14A96" w14:textId="2C36D069" w:rsidR="005150AE" w:rsidRPr="00B47E7A" w:rsidRDefault="005150AE" w:rsidP="005150AE">
      <w:pPr>
        <w:tabs>
          <w:tab w:val="left" w:pos="567"/>
        </w:tabs>
        <w:contextualSpacing/>
        <w:jc w:val="both"/>
        <w:rPr>
          <w:color w:val="000000"/>
          <w:lang w:bidi="ru-RU"/>
        </w:rPr>
      </w:pPr>
      <w:r w:rsidRPr="00B47E7A">
        <w:rPr>
          <w:color w:val="000000"/>
          <w:lang w:bidi="ru-RU"/>
        </w:rPr>
        <w:t>При совершении длительных поездок, пациентам с гемофилией А целесообразно иметь достаточный запас препарата фактора свертывания крови VIII, в соответствии с индивидуальным режимом терапии. Перед поездкой пациентам рекомендуется проконсультироваться с врачом.</w:t>
      </w:r>
    </w:p>
    <w:p w14:paraId="4DE62861" w14:textId="745E1812" w:rsidR="005150AE" w:rsidRPr="00B47E7A" w:rsidRDefault="005150AE" w:rsidP="00ED3A3F">
      <w:pPr>
        <w:contextualSpacing/>
        <w:jc w:val="both"/>
        <w:rPr>
          <w:i/>
          <w:lang w:bidi="ru-RU"/>
        </w:rPr>
      </w:pPr>
      <w:r w:rsidRPr="00B47E7A">
        <w:rPr>
          <w:i/>
          <w:lang w:bidi="ru-RU"/>
        </w:rPr>
        <w:t>Профилактическое лечение</w:t>
      </w:r>
    </w:p>
    <w:p w14:paraId="3BF00B22" w14:textId="58CE6D4A" w:rsidR="005150AE" w:rsidRPr="00B47E7A" w:rsidRDefault="005150AE" w:rsidP="005150AE">
      <w:pPr>
        <w:contextualSpacing/>
        <w:jc w:val="both"/>
      </w:pPr>
      <w:r w:rsidRPr="00B47E7A">
        <w:t>Количество и частота введений должны всегда быть направлены на клиническую эффективность в каждом отдельном случае.</w:t>
      </w:r>
    </w:p>
    <w:p w14:paraId="1913BFD8" w14:textId="7C3CE861" w:rsidR="005150AE" w:rsidRPr="00B47E7A" w:rsidRDefault="005150AE" w:rsidP="005150AE">
      <w:pPr>
        <w:contextualSpacing/>
        <w:jc w:val="both"/>
      </w:pPr>
      <w:r w:rsidRPr="00B47E7A">
        <w:t>Для долгосрочной профилактики кровотечений у пациентов, страдающих тяжелой формой гемофилии A, средняя доза препарата составляет 20-40 МЕ/кг массы тела с интервалом введения каждые 2-3 дня. В некоторых случаях, особенно у более молодых пациентов, могут потребоваться более короткие интервалы дозирования или более высокие дозы препарата.</w:t>
      </w:r>
    </w:p>
    <w:p w14:paraId="47ABD4BD" w14:textId="77777777" w:rsidR="005150AE" w:rsidRPr="00B47E7A" w:rsidRDefault="005150AE" w:rsidP="005150AE">
      <w:pPr>
        <w:contextualSpacing/>
        <w:jc w:val="both"/>
        <w:rPr>
          <w:sz w:val="16"/>
          <w:szCs w:val="16"/>
        </w:rPr>
      </w:pPr>
    </w:p>
    <w:p w14:paraId="5707731C" w14:textId="77777777" w:rsidR="005150AE" w:rsidRPr="00B47E7A" w:rsidRDefault="005150AE" w:rsidP="005150AE">
      <w:pPr>
        <w:pStyle w:val="a5"/>
        <w:contextualSpacing/>
        <w:jc w:val="both"/>
        <w:rPr>
          <w:rFonts w:ascii="Times New Roman" w:hAnsi="Times New Roman"/>
          <w:sz w:val="24"/>
          <w:szCs w:val="24"/>
          <w:u w:val="single"/>
          <w:lang w:bidi="ru-RU"/>
        </w:rPr>
      </w:pPr>
      <w:r w:rsidRPr="00B47E7A">
        <w:rPr>
          <w:rFonts w:ascii="Times New Roman" w:hAnsi="Times New Roman"/>
          <w:b/>
          <w:bCs/>
          <w:sz w:val="24"/>
          <w:szCs w:val="24"/>
          <w:lang w:bidi="ru-RU"/>
        </w:rPr>
        <w:t>Способ применения</w:t>
      </w:r>
    </w:p>
    <w:p w14:paraId="53D7EECF"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eastAsia="Times New Roman" w:hAnsi="Times New Roman"/>
          <w:sz w:val="24"/>
          <w:szCs w:val="24"/>
          <w:lang w:eastAsia="ru-RU"/>
        </w:rPr>
        <w:t>Октоклотин вводится</w:t>
      </w:r>
      <w:r w:rsidRPr="00B47E7A">
        <w:rPr>
          <w:rFonts w:ascii="Times New Roman" w:hAnsi="Times New Roman"/>
          <w:sz w:val="24"/>
          <w:szCs w:val="24"/>
        </w:rPr>
        <w:t xml:space="preserve"> внутривенно струйно медленно в течение 2-5 минут, после разведения лиофилизата прилагаемым растворителем (натрия хлорида раствор 0.9% для инъекций). Скорость введения определяется переносимостью пациента.</w:t>
      </w:r>
    </w:p>
    <w:p w14:paraId="1DF15BC9" w14:textId="3386CB30"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 xml:space="preserve">Пациент или лицо, осуществляющее за ним уход, </w:t>
      </w:r>
      <w:r w:rsidR="00ED3A3F" w:rsidRPr="00B47E7A">
        <w:rPr>
          <w:rFonts w:ascii="Times New Roman" w:hAnsi="Times New Roman"/>
          <w:sz w:val="24"/>
          <w:szCs w:val="24"/>
        </w:rPr>
        <w:t>должны быть</w:t>
      </w:r>
      <w:r w:rsidRPr="00B47E7A">
        <w:rPr>
          <w:rFonts w:ascii="Times New Roman" w:hAnsi="Times New Roman"/>
          <w:sz w:val="24"/>
          <w:szCs w:val="24"/>
        </w:rPr>
        <w:t xml:space="preserve"> обуч</w:t>
      </w:r>
      <w:r w:rsidR="00ED3A3F" w:rsidRPr="00B47E7A">
        <w:rPr>
          <w:rFonts w:ascii="Times New Roman" w:hAnsi="Times New Roman"/>
          <w:sz w:val="24"/>
          <w:szCs w:val="24"/>
        </w:rPr>
        <w:t>ены</w:t>
      </w:r>
      <w:r w:rsidRPr="00B47E7A">
        <w:rPr>
          <w:rFonts w:ascii="Times New Roman" w:hAnsi="Times New Roman"/>
          <w:sz w:val="24"/>
          <w:szCs w:val="24"/>
        </w:rPr>
        <w:t xml:space="preserve"> технике внутривенного введения препарата Октоклотин.</w:t>
      </w:r>
    </w:p>
    <w:p w14:paraId="4F5AE6AA" w14:textId="77777777" w:rsidR="005150AE" w:rsidRPr="00B47E7A" w:rsidRDefault="005150AE" w:rsidP="005150AE">
      <w:pPr>
        <w:pStyle w:val="a5"/>
        <w:contextualSpacing/>
        <w:jc w:val="both"/>
        <w:rPr>
          <w:rFonts w:ascii="Times New Roman" w:hAnsi="Times New Roman"/>
          <w:i/>
          <w:sz w:val="24"/>
          <w:szCs w:val="24"/>
        </w:rPr>
      </w:pPr>
      <w:r w:rsidRPr="00B47E7A">
        <w:rPr>
          <w:rFonts w:ascii="Times New Roman" w:hAnsi="Times New Roman"/>
          <w:i/>
          <w:sz w:val="24"/>
          <w:szCs w:val="24"/>
        </w:rPr>
        <w:t>Правила приготовления раствора для внутривенного введения и его применение</w:t>
      </w:r>
    </w:p>
    <w:p w14:paraId="6D4FEDE2"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Перед приготовлением раствора для внутривенного введения необходимо тщательно вымыть руки и соблюдать правила асептики в процессе приготовления и введения раствора препарата.</w:t>
      </w:r>
    </w:p>
    <w:p w14:paraId="2E65E70C" w14:textId="275A5F18"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Открытые медицинские материалы необходимо использовать, по возможности быстро, чтобы сократить до минимума время их контакта с атмосферным воздухом.</w:t>
      </w:r>
    </w:p>
    <w:p w14:paraId="165D7939"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Ниже представлен комплект расходных медицинских материалов для приготовления раствора для внутривенного введения:</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150AE" w:rsidRPr="00B47E7A" w14:paraId="6C733328" w14:textId="77777777" w:rsidTr="008065CC">
        <w:tc>
          <w:tcPr>
            <w:tcW w:w="4536" w:type="dxa"/>
          </w:tcPr>
          <w:p w14:paraId="1B004C96" w14:textId="77777777" w:rsidR="005150AE" w:rsidRPr="00B47E7A" w:rsidRDefault="005150AE" w:rsidP="008065CC">
            <w:pPr>
              <w:jc w:val="both"/>
            </w:pPr>
            <w:r w:rsidRPr="00B47E7A">
              <w:rPr>
                <w:noProof/>
              </w:rPr>
              <w:lastRenderedPageBreak/>
              <w:drawing>
                <wp:inline distT="0" distB="0" distL="0" distR="0" wp14:anchorId="09E7E2C2" wp14:editId="711E2554">
                  <wp:extent cx="1369060" cy="1426191"/>
                  <wp:effectExtent l="0" t="0" r="2540" b="3175"/>
                  <wp:docPr id="19" name="Рисунок 19"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mitriy\Desktop\Безымянный.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4351" cy="1431702"/>
                          </a:xfrm>
                          <a:prstGeom prst="rect">
                            <a:avLst/>
                          </a:prstGeom>
                          <a:noFill/>
                          <a:ln>
                            <a:noFill/>
                          </a:ln>
                        </pic:spPr>
                      </pic:pic>
                    </a:graphicData>
                  </a:graphic>
                </wp:inline>
              </w:drawing>
            </w:r>
          </w:p>
          <w:p w14:paraId="7586D7E7" w14:textId="77777777" w:rsidR="005150AE" w:rsidRPr="00B47E7A" w:rsidRDefault="005150AE" w:rsidP="008065CC">
            <w:pPr>
              <w:jc w:val="both"/>
            </w:pPr>
            <w:r w:rsidRPr="00B47E7A">
              <w:t>1 флакон с лиофилизатом (препарат Октоклотин)</w:t>
            </w:r>
          </w:p>
        </w:tc>
        <w:tc>
          <w:tcPr>
            <w:tcW w:w="4536" w:type="dxa"/>
            <w:vAlign w:val="center"/>
          </w:tcPr>
          <w:p w14:paraId="5115A8B6" w14:textId="77777777" w:rsidR="005150AE" w:rsidRPr="00B47E7A" w:rsidRDefault="005150AE" w:rsidP="008065CC">
            <w:pPr>
              <w:jc w:val="both"/>
            </w:pPr>
            <w:r w:rsidRPr="00B47E7A">
              <w:rPr>
                <w:noProof/>
              </w:rPr>
              <w:drawing>
                <wp:inline distT="0" distB="0" distL="0" distR="0" wp14:anchorId="45F34961" wp14:editId="2152DFD6">
                  <wp:extent cx="2196935" cy="154379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1543908"/>
                          </a:xfrm>
                          <a:prstGeom prst="rect">
                            <a:avLst/>
                          </a:prstGeom>
                          <a:noFill/>
                          <a:ln>
                            <a:noFill/>
                          </a:ln>
                        </pic:spPr>
                      </pic:pic>
                    </a:graphicData>
                  </a:graphic>
                </wp:inline>
              </w:drawing>
            </w:r>
          </w:p>
          <w:p w14:paraId="46F62841" w14:textId="77777777" w:rsidR="005150AE" w:rsidRPr="00B47E7A" w:rsidRDefault="005150AE" w:rsidP="008065CC">
            <w:pPr>
              <w:ind w:left="284"/>
              <w:jc w:val="both"/>
            </w:pPr>
            <w:r w:rsidRPr="00B47E7A">
              <w:t>2 салфетки спиртовые</w:t>
            </w:r>
          </w:p>
        </w:tc>
      </w:tr>
      <w:tr w:rsidR="005150AE" w:rsidRPr="00B47E7A" w14:paraId="41FC5457" w14:textId="77777777" w:rsidTr="008065CC">
        <w:tc>
          <w:tcPr>
            <w:tcW w:w="4536" w:type="dxa"/>
          </w:tcPr>
          <w:p w14:paraId="1A7E74CD" w14:textId="77777777" w:rsidR="005150AE" w:rsidRPr="00B47E7A" w:rsidRDefault="005150AE" w:rsidP="008065CC">
            <w:pPr>
              <w:jc w:val="both"/>
              <w:rPr>
                <w:sz w:val="16"/>
                <w:szCs w:val="16"/>
              </w:rPr>
            </w:pPr>
            <w:r w:rsidRPr="00B47E7A">
              <w:rPr>
                <w:noProof/>
              </w:rPr>
              <w:drawing>
                <wp:inline distT="0" distB="0" distL="0" distR="0" wp14:anchorId="0361E72B" wp14:editId="24C50B0F">
                  <wp:extent cx="1522730" cy="1685499"/>
                  <wp:effectExtent l="0" t="0" r="1270" b="0"/>
                  <wp:docPr id="21" name="Рисунок 21"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mitriy\Desktop\Безымянный.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269" cy="1697164"/>
                          </a:xfrm>
                          <a:prstGeom prst="rect">
                            <a:avLst/>
                          </a:prstGeom>
                          <a:noFill/>
                          <a:ln>
                            <a:noFill/>
                          </a:ln>
                        </pic:spPr>
                      </pic:pic>
                    </a:graphicData>
                  </a:graphic>
                </wp:inline>
              </w:drawing>
            </w:r>
          </w:p>
          <w:p w14:paraId="0053AC47" w14:textId="77777777" w:rsidR="005150AE" w:rsidRPr="00B47E7A" w:rsidRDefault="005150AE" w:rsidP="008065CC">
            <w:pPr>
              <w:jc w:val="both"/>
            </w:pPr>
            <w:r w:rsidRPr="00B47E7A">
              <w:t>1 флакон с растворителем (натрия хлорида раствор 0.9% для инъекций)</w:t>
            </w:r>
          </w:p>
        </w:tc>
        <w:tc>
          <w:tcPr>
            <w:tcW w:w="4536" w:type="dxa"/>
            <w:vAlign w:val="center"/>
          </w:tcPr>
          <w:p w14:paraId="48C14A5F" w14:textId="1D21BFC0" w:rsidR="005150AE" w:rsidRPr="00B47E7A" w:rsidRDefault="005150AE" w:rsidP="008065CC">
            <w:pPr>
              <w:ind w:left="284"/>
              <w:jc w:val="both"/>
              <w:rPr>
                <w:sz w:val="32"/>
                <w:szCs w:val="32"/>
              </w:rPr>
            </w:pPr>
            <w:r w:rsidRPr="00B47E7A">
              <w:rPr>
                <w:noProof/>
              </w:rPr>
              <w:drawing>
                <wp:inline distT="0" distB="0" distL="0" distR="0" wp14:anchorId="0FCCEDB1" wp14:editId="1FD2C27D">
                  <wp:extent cx="1802245" cy="1351128"/>
                  <wp:effectExtent l="0" t="0" r="762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904" cy="1403351"/>
                          </a:xfrm>
                          <a:prstGeom prst="rect">
                            <a:avLst/>
                          </a:prstGeom>
                          <a:noFill/>
                          <a:ln>
                            <a:noFill/>
                          </a:ln>
                        </pic:spPr>
                      </pic:pic>
                    </a:graphicData>
                  </a:graphic>
                </wp:inline>
              </w:drawing>
            </w:r>
          </w:p>
          <w:p w14:paraId="32C5EF55" w14:textId="77777777" w:rsidR="005150AE" w:rsidRPr="00B47E7A" w:rsidRDefault="005150AE" w:rsidP="008065CC">
            <w:pPr>
              <w:ind w:left="284"/>
              <w:jc w:val="both"/>
              <w:rPr>
                <w:sz w:val="16"/>
                <w:szCs w:val="16"/>
              </w:rPr>
            </w:pPr>
          </w:p>
          <w:p w14:paraId="2504BE11" w14:textId="3D7B92F3" w:rsidR="005150AE" w:rsidRPr="00B47E7A" w:rsidRDefault="005150AE" w:rsidP="008065CC">
            <w:pPr>
              <w:ind w:left="284"/>
              <w:jc w:val="both"/>
            </w:pPr>
            <w:r w:rsidRPr="00B47E7A">
              <w:t>1 пластырь фиксирующий</w:t>
            </w:r>
          </w:p>
        </w:tc>
      </w:tr>
      <w:tr w:rsidR="005150AE" w:rsidRPr="00B47E7A" w14:paraId="5C7DD51E" w14:textId="77777777" w:rsidTr="008065CC">
        <w:tc>
          <w:tcPr>
            <w:tcW w:w="4536" w:type="dxa"/>
          </w:tcPr>
          <w:p w14:paraId="083C5E62" w14:textId="77777777" w:rsidR="005150AE" w:rsidRPr="00B47E7A" w:rsidRDefault="005150AE" w:rsidP="008065CC">
            <w:pPr>
              <w:jc w:val="both"/>
            </w:pPr>
            <w:r w:rsidRPr="00B47E7A">
              <w:rPr>
                <w:noProof/>
              </w:rPr>
              <w:drawing>
                <wp:inline distT="0" distB="0" distL="0" distR="0" wp14:anchorId="4F32BFD0" wp14:editId="3C944343">
                  <wp:extent cx="1692322" cy="1439395"/>
                  <wp:effectExtent l="0" t="0" r="3175"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972" cy="1461211"/>
                          </a:xfrm>
                          <a:prstGeom prst="rect">
                            <a:avLst/>
                          </a:prstGeom>
                          <a:noFill/>
                          <a:ln>
                            <a:noFill/>
                          </a:ln>
                        </pic:spPr>
                      </pic:pic>
                    </a:graphicData>
                  </a:graphic>
                </wp:inline>
              </w:drawing>
            </w:r>
          </w:p>
          <w:p w14:paraId="0EFD81BD" w14:textId="77777777" w:rsidR="005150AE" w:rsidRPr="00B47E7A" w:rsidRDefault="005150AE" w:rsidP="008065CC">
            <w:pPr>
              <w:jc w:val="both"/>
            </w:pPr>
            <w:r w:rsidRPr="00B47E7A">
              <w:t>2 фильтр-канюли</w:t>
            </w:r>
          </w:p>
        </w:tc>
        <w:tc>
          <w:tcPr>
            <w:tcW w:w="4536" w:type="dxa"/>
            <w:vAlign w:val="center"/>
          </w:tcPr>
          <w:p w14:paraId="2E66E29D" w14:textId="77777777" w:rsidR="005150AE" w:rsidRPr="00B47E7A" w:rsidRDefault="005150AE" w:rsidP="008065CC">
            <w:r w:rsidRPr="00B47E7A">
              <w:rPr>
                <w:noProof/>
              </w:rPr>
              <w:drawing>
                <wp:inline distT="0" distB="0" distL="0" distR="0" wp14:anchorId="289F1582" wp14:editId="38D7B43F">
                  <wp:extent cx="2563681" cy="1037230"/>
                  <wp:effectExtent l="0" t="0" r="825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3675" cy="1049365"/>
                          </a:xfrm>
                          <a:prstGeom prst="rect">
                            <a:avLst/>
                          </a:prstGeom>
                          <a:noFill/>
                          <a:ln>
                            <a:noFill/>
                          </a:ln>
                        </pic:spPr>
                      </pic:pic>
                    </a:graphicData>
                  </a:graphic>
                </wp:inline>
              </w:drawing>
            </w:r>
          </w:p>
          <w:p w14:paraId="3C10684B" w14:textId="77777777" w:rsidR="005150AE" w:rsidRPr="00B47E7A" w:rsidRDefault="005150AE" w:rsidP="008065CC">
            <w:pPr>
              <w:ind w:left="284"/>
              <w:jc w:val="both"/>
            </w:pPr>
            <w:r w:rsidRPr="00B47E7A">
              <w:t>1 шприц с иглой или без иглы вместимостью 5 мл</w:t>
            </w:r>
          </w:p>
        </w:tc>
      </w:tr>
      <w:tr w:rsidR="005150AE" w:rsidRPr="00B47E7A" w14:paraId="540965A8" w14:textId="77777777" w:rsidTr="008065CC">
        <w:tc>
          <w:tcPr>
            <w:tcW w:w="4536" w:type="dxa"/>
          </w:tcPr>
          <w:p w14:paraId="6265D1DD" w14:textId="1E7DC54E" w:rsidR="005150AE" w:rsidRPr="00B47E7A" w:rsidRDefault="005150AE" w:rsidP="00E45D82">
            <w:pPr>
              <w:tabs>
                <w:tab w:val="left" w:pos="3095"/>
              </w:tabs>
              <w:jc w:val="both"/>
            </w:pPr>
            <w:r w:rsidRPr="00B47E7A">
              <w:rPr>
                <w:noProof/>
              </w:rPr>
              <w:drawing>
                <wp:inline distT="0" distB="0" distL="0" distR="0" wp14:anchorId="40CFAA26" wp14:editId="258A4EB8">
                  <wp:extent cx="1376680" cy="1228298"/>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670" cy="1237212"/>
                          </a:xfrm>
                          <a:prstGeom prst="rect">
                            <a:avLst/>
                          </a:prstGeom>
                          <a:noFill/>
                          <a:ln>
                            <a:noFill/>
                          </a:ln>
                        </pic:spPr>
                      </pic:pic>
                    </a:graphicData>
                  </a:graphic>
                </wp:inline>
              </w:drawing>
            </w:r>
            <w:r w:rsidR="00E45D82" w:rsidRPr="00B47E7A">
              <w:tab/>
              <w:t>или</w:t>
            </w:r>
          </w:p>
          <w:p w14:paraId="63E0E925" w14:textId="77777777" w:rsidR="009C2C78" w:rsidRPr="00B47E7A" w:rsidRDefault="005150AE" w:rsidP="008065CC">
            <w:pPr>
              <w:jc w:val="both"/>
            </w:pPr>
            <w:r w:rsidRPr="00B47E7A">
              <w:t>1 катетер</w:t>
            </w:r>
            <w:r w:rsidR="00E45D82" w:rsidRPr="00B47E7A">
              <w:t xml:space="preserve"> инфузионный</w:t>
            </w:r>
            <w:r w:rsidR="009C2C78" w:rsidRPr="00B47E7A">
              <w:t xml:space="preserve"> </w:t>
            </w:r>
          </w:p>
          <w:p w14:paraId="7730EFB0" w14:textId="465D2D1F" w:rsidR="005150AE" w:rsidRPr="00B47E7A" w:rsidRDefault="009C2C78" w:rsidP="008065CC">
            <w:pPr>
              <w:jc w:val="both"/>
            </w:pPr>
            <w:r w:rsidRPr="00B47E7A">
              <w:t>с удлинителем</w:t>
            </w:r>
          </w:p>
        </w:tc>
        <w:tc>
          <w:tcPr>
            <w:tcW w:w="4536" w:type="dxa"/>
          </w:tcPr>
          <w:p w14:paraId="5C1AD0FF" w14:textId="77777777" w:rsidR="005150AE" w:rsidRPr="00B47E7A" w:rsidRDefault="00E45D82" w:rsidP="008065CC">
            <w:pPr>
              <w:jc w:val="both"/>
            </w:pPr>
            <w:r w:rsidRPr="00B47E7A">
              <w:rPr>
                <w:noProof/>
                <w:sz w:val="28"/>
                <w:szCs w:val="28"/>
              </w:rPr>
              <w:drawing>
                <wp:anchor distT="0" distB="0" distL="114300" distR="114300" simplePos="0" relativeHeight="251659264" behindDoc="0" locked="0" layoutInCell="1" allowOverlap="1" wp14:anchorId="3F1D914B" wp14:editId="02AC3CA2">
                  <wp:simplePos x="0" y="0"/>
                  <wp:positionH relativeFrom="column">
                    <wp:posOffset>258445</wp:posOffset>
                  </wp:positionH>
                  <wp:positionV relativeFrom="paragraph">
                    <wp:posOffset>86360</wp:posOffset>
                  </wp:positionV>
                  <wp:extent cx="1555750" cy="1105469"/>
                  <wp:effectExtent l="0" t="0" r="6350" b="0"/>
                  <wp:wrapNone/>
                  <wp:docPr id="2" name="Рисунок 2" descr="C:\Users\Глашкин Алексей\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лашкин Алексей\Desktop\unna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0" cy="1105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35F4B" w14:textId="77777777" w:rsidR="00E45D82" w:rsidRPr="00B47E7A" w:rsidRDefault="00E45D82" w:rsidP="00E45D82"/>
          <w:p w14:paraId="03F4D5AC" w14:textId="77777777" w:rsidR="00E45D82" w:rsidRPr="00B47E7A" w:rsidRDefault="00E45D82" w:rsidP="00E45D82"/>
          <w:p w14:paraId="77E566C8" w14:textId="77777777" w:rsidR="00E45D82" w:rsidRPr="00B47E7A" w:rsidRDefault="00E45D82" w:rsidP="00E45D82"/>
          <w:p w14:paraId="75104B90" w14:textId="77777777" w:rsidR="00E45D82" w:rsidRPr="00B47E7A" w:rsidRDefault="00E45D82" w:rsidP="00E45D82"/>
          <w:p w14:paraId="7ECF60E7" w14:textId="77777777" w:rsidR="00E45D82" w:rsidRPr="00B47E7A" w:rsidRDefault="00E45D82" w:rsidP="00E45D82"/>
          <w:p w14:paraId="546800E8" w14:textId="77777777" w:rsidR="00E45D82" w:rsidRPr="00B47E7A" w:rsidRDefault="00E45D82" w:rsidP="00E45D82"/>
          <w:p w14:paraId="2B681C10" w14:textId="6EA829AC" w:rsidR="00E45D82" w:rsidRPr="00B47E7A" w:rsidRDefault="00E45D82" w:rsidP="00E45D82">
            <w:r w:rsidRPr="00B47E7A">
              <w:t>1 катетер инфузионный с инъекционным портом</w:t>
            </w:r>
          </w:p>
        </w:tc>
      </w:tr>
    </w:tbl>
    <w:p w14:paraId="078DC1B1" w14:textId="77777777" w:rsidR="005150AE" w:rsidRPr="00B47E7A" w:rsidRDefault="005150AE" w:rsidP="005150AE">
      <w:pPr>
        <w:pStyle w:val="a5"/>
        <w:contextualSpacing/>
        <w:rPr>
          <w:rFonts w:ascii="Times New Roman" w:hAnsi="Times New Roman"/>
          <w:sz w:val="18"/>
          <w:szCs w:val="18"/>
        </w:rPr>
      </w:pPr>
    </w:p>
    <w:p w14:paraId="644C46BD"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1. Необходимо извлечь из холодильника флакон с лиофилизатом и флакон с растворителем и дать им достичь комнатной температуры. Не допускается нагревание препарата выше 37°С.</w:t>
      </w:r>
    </w:p>
    <w:p w14:paraId="5D42BDA4"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2. Поставьте оба флакона на чистую ровную поверхность.</w:t>
      </w:r>
    </w:p>
    <w:p w14:paraId="64721584"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3. Снимите защитную пластиковую накладку с каждого флакона.</w:t>
      </w:r>
    </w:p>
    <w:p w14:paraId="07B05A19"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4. Обработайте резиновые пробки флаконов салфеткой спиртовой. Дайте им высохнуть перед использованием. Не прикасайтесь руками или другими предметами к обработанным поверхностям пробок.</w:t>
      </w:r>
    </w:p>
    <w:p w14:paraId="137D2F33"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5. Откройте блистерную упаковку фильтр-канюли. Снимите защитный колпачок с иглы фильтр-канюли.</w:t>
      </w:r>
    </w:p>
    <w:p w14:paraId="44888142"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6. Введите пластиковую иглу фильтр-канюли вертикально в центр резиновой пробки флакона с растворителем до упора (рис. 1)</w:t>
      </w:r>
    </w:p>
    <w:p w14:paraId="43D390A0"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noProof/>
          <w:sz w:val="28"/>
          <w:szCs w:val="28"/>
          <w:lang w:eastAsia="ru-RU"/>
        </w:rPr>
        <w:lastRenderedPageBreak/>
        <w:drawing>
          <wp:inline distT="0" distB="0" distL="0" distR="0" wp14:anchorId="37E22958" wp14:editId="52395A38">
            <wp:extent cx="2597766" cy="1501254"/>
            <wp:effectExtent l="0" t="0" r="0" b="3810"/>
            <wp:docPr id="14" name="Рисунок 14"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itriy\Desktop\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1116" cy="1537864"/>
                    </a:xfrm>
                    <a:prstGeom prst="rect">
                      <a:avLst/>
                    </a:prstGeom>
                    <a:noFill/>
                    <a:ln>
                      <a:noFill/>
                    </a:ln>
                  </pic:spPr>
                </pic:pic>
              </a:graphicData>
            </a:graphic>
          </wp:inline>
        </w:drawing>
      </w:r>
    </w:p>
    <w:p w14:paraId="26602730" w14:textId="77777777" w:rsidR="005150AE" w:rsidRPr="00B47E7A" w:rsidRDefault="005150AE" w:rsidP="005150AE">
      <w:pPr>
        <w:pStyle w:val="a5"/>
        <w:contextualSpacing/>
        <w:jc w:val="both"/>
        <w:rPr>
          <w:rFonts w:ascii="Times New Roman" w:hAnsi="Times New Roman"/>
          <w:b/>
          <w:sz w:val="24"/>
          <w:szCs w:val="24"/>
        </w:rPr>
      </w:pPr>
      <w:r w:rsidRPr="00B47E7A">
        <w:rPr>
          <w:rFonts w:ascii="Times New Roman" w:hAnsi="Times New Roman"/>
          <w:b/>
          <w:sz w:val="24"/>
          <w:szCs w:val="24"/>
        </w:rPr>
        <w:t>Рисунок 1</w:t>
      </w:r>
    </w:p>
    <w:p w14:paraId="51CC26D7" w14:textId="77777777" w:rsidR="005150AE" w:rsidRPr="00B47E7A" w:rsidRDefault="005150AE" w:rsidP="005150AE">
      <w:pPr>
        <w:pStyle w:val="a5"/>
        <w:contextualSpacing/>
        <w:jc w:val="both"/>
        <w:rPr>
          <w:rFonts w:ascii="Times New Roman" w:hAnsi="Times New Roman"/>
          <w:b/>
          <w:sz w:val="24"/>
          <w:szCs w:val="24"/>
        </w:rPr>
      </w:pPr>
    </w:p>
    <w:p w14:paraId="1FFAEE1C" w14:textId="5CC7E8DA" w:rsidR="005150AE" w:rsidRPr="00B47E7A" w:rsidRDefault="005150AE" w:rsidP="005150AE">
      <w:pPr>
        <w:pStyle w:val="a5"/>
        <w:contextualSpacing/>
        <w:jc w:val="both"/>
        <w:rPr>
          <w:rFonts w:ascii="Times New Roman" w:hAnsi="Times New Roman"/>
          <w:bCs/>
          <w:i/>
          <w:iCs/>
          <w:sz w:val="24"/>
          <w:szCs w:val="24"/>
        </w:rPr>
      </w:pPr>
      <w:r w:rsidRPr="00B47E7A">
        <w:rPr>
          <w:rFonts w:ascii="Times New Roman" w:hAnsi="Times New Roman"/>
          <w:sz w:val="24"/>
          <w:szCs w:val="24"/>
        </w:rPr>
        <w:t xml:space="preserve">7. Откройте блистерную упаковку шприца, отогнув до середины бумажное покрытие, и вставьте шприц в отверстие фильтр-канюли, открыв защитную крышечку (рис. 2). </w:t>
      </w:r>
      <w:r w:rsidRPr="00B47E7A">
        <w:rPr>
          <w:rFonts w:ascii="Times New Roman" w:hAnsi="Times New Roman"/>
          <w:bCs/>
          <w:i/>
          <w:iCs/>
          <w:sz w:val="24"/>
          <w:szCs w:val="24"/>
        </w:rPr>
        <w:t>Убедитесь в плотности соединения.</w:t>
      </w:r>
    </w:p>
    <w:p w14:paraId="788D6024"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noProof/>
          <w:sz w:val="24"/>
          <w:szCs w:val="24"/>
          <w:lang w:eastAsia="ru-RU"/>
        </w:rPr>
        <w:drawing>
          <wp:inline distT="0" distB="0" distL="0" distR="0" wp14:anchorId="3DEE6DFB" wp14:editId="1CB83122">
            <wp:extent cx="2838735" cy="15417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8385" cy="1568746"/>
                    </a:xfrm>
                    <a:prstGeom prst="rect">
                      <a:avLst/>
                    </a:prstGeom>
                    <a:noFill/>
                  </pic:spPr>
                </pic:pic>
              </a:graphicData>
            </a:graphic>
          </wp:inline>
        </w:drawing>
      </w:r>
    </w:p>
    <w:p w14:paraId="62AE3937" w14:textId="77777777" w:rsidR="005150AE" w:rsidRPr="00B47E7A" w:rsidRDefault="005150AE" w:rsidP="005150AE">
      <w:pPr>
        <w:pStyle w:val="a5"/>
        <w:contextualSpacing/>
        <w:jc w:val="both"/>
        <w:rPr>
          <w:rFonts w:ascii="Times New Roman" w:hAnsi="Times New Roman"/>
          <w:b/>
          <w:sz w:val="24"/>
          <w:szCs w:val="24"/>
        </w:rPr>
      </w:pPr>
      <w:r w:rsidRPr="00B47E7A">
        <w:rPr>
          <w:rFonts w:ascii="Times New Roman" w:hAnsi="Times New Roman"/>
          <w:b/>
          <w:sz w:val="24"/>
          <w:szCs w:val="24"/>
        </w:rPr>
        <w:t>Рисунок 2</w:t>
      </w:r>
    </w:p>
    <w:p w14:paraId="50D5E1CC" w14:textId="77777777" w:rsidR="005150AE" w:rsidRPr="00B47E7A" w:rsidRDefault="005150AE" w:rsidP="005150AE">
      <w:pPr>
        <w:pStyle w:val="a5"/>
        <w:contextualSpacing/>
        <w:jc w:val="both"/>
        <w:rPr>
          <w:rFonts w:ascii="Times New Roman" w:hAnsi="Times New Roman"/>
          <w:sz w:val="24"/>
          <w:szCs w:val="24"/>
        </w:rPr>
      </w:pPr>
    </w:p>
    <w:p w14:paraId="384441C0"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8. Переверните флакон вверх дном и отберите в шприц 4 мл растворителя, плавно оттягивая поршень. Не отсоединяйте наполненный шприц от фильтр-канюли.</w:t>
      </w:r>
    </w:p>
    <w:p w14:paraId="2D9B3925"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9. Откройте блистерную упаковку второй фильтр-канюли, снимите защитный колпачок с иглы и введите пластиковую иглу фильтр-канюли в центр резиновой пробки флакона с препаратом, до упора, аналогично растворителю (см. пункт 6).</w:t>
      </w:r>
    </w:p>
    <w:p w14:paraId="36EC047A"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10. Удалите наполненный шприц из первой фильтр-канюли (см. пункт 8), оставляя переходник в пробке флакона с остатком растворителя. Следите за тем, чтобы кончик шприца не соприкасался с рукой или другими предметами.</w:t>
      </w:r>
    </w:p>
    <w:p w14:paraId="17749377" w14:textId="77777777" w:rsidR="005150AE" w:rsidRPr="00B47E7A" w:rsidRDefault="005150AE" w:rsidP="005150AE">
      <w:pPr>
        <w:pStyle w:val="a5"/>
        <w:contextualSpacing/>
        <w:jc w:val="both"/>
        <w:rPr>
          <w:rFonts w:ascii="Times New Roman" w:hAnsi="Times New Roman"/>
          <w:i/>
          <w:sz w:val="24"/>
          <w:szCs w:val="24"/>
        </w:rPr>
      </w:pPr>
      <w:r w:rsidRPr="00B47E7A">
        <w:rPr>
          <w:rFonts w:ascii="Times New Roman" w:hAnsi="Times New Roman"/>
          <w:sz w:val="24"/>
          <w:szCs w:val="24"/>
        </w:rPr>
        <w:t xml:space="preserve">11. Вставьте наполненный шприц с растворителем во вторую фильтр-канюлю, установленную на флаконе с препаратом, открыв защитную крышечку. </w:t>
      </w:r>
      <w:r w:rsidRPr="00B47E7A">
        <w:rPr>
          <w:rFonts w:ascii="Times New Roman" w:hAnsi="Times New Roman"/>
          <w:i/>
          <w:sz w:val="24"/>
          <w:szCs w:val="24"/>
        </w:rPr>
        <w:t>Убедитесь в плотности соединения.</w:t>
      </w:r>
    </w:p>
    <w:p w14:paraId="6E49F938"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12. Осторожно нажимая на стержень поршня и слегка наклоняя флакон с препаратом, медленно введите 4 мл растворителя по стенке флакона через фильтр-канюлю. Не отсоединяйте шприц от фильтр-канюли. Эффект «вспенивания» появляется, если растворитель попадает непосредственно на лиофилизат.</w:t>
      </w:r>
    </w:p>
    <w:p w14:paraId="26EAD401"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 xml:space="preserve">13. Осторожно покачивайте флакон круговыми движениями, пока весь лиофилизат не растворится (рис. 3). </w:t>
      </w:r>
      <w:r w:rsidRPr="00B47E7A">
        <w:rPr>
          <w:rFonts w:ascii="Times New Roman" w:hAnsi="Times New Roman"/>
          <w:i/>
          <w:sz w:val="24"/>
          <w:szCs w:val="24"/>
        </w:rPr>
        <w:t>Не встряхивайте флакон.</w:t>
      </w:r>
      <w:r w:rsidRPr="00B47E7A">
        <w:rPr>
          <w:rFonts w:ascii="Times New Roman" w:hAnsi="Times New Roman"/>
          <w:sz w:val="24"/>
          <w:szCs w:val="24"/>
        </w:rPr>
        <w:t xml:space="preserve"> Убедитесь в том, что лиофилизат полностью растворился. При наличии любых включений или мутности не используйте приготовленный раствор.</w:t>
      </w:r>
    </w:p>
    <w:p w14:paraId="19D3EB2E"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noProof/>
          <w:sz w:val="24"/>
          <w:szCs w:val="24"/>
          <w:lang w:eastAsia="ru-RU"/>
        </w:rPr>
        <w:drawing>
          <wp:inline distT="0" distB="0" distL="0" distR="0" wp14:anchorId="70CE2979" wp14:editId="3E1C97C6">
            <wp:extent cx="2578645" cy="1705970"/>
            <wp:effectExtent l="0" t="0" r="0" b="8890"/>
            <wp:docPr id="16" name="Рисунок 16"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itriy\Desktop\Безымянный.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5891" cy="1763690"/>
                    </a:xfrm>
                    <a:prstGeom prst="rect">
                      <a:avLst/>
                    </a:prstGeom>
                    <a:noFill/>
                    <a:ln>
                      <a:noFill/>
                    </a:ln>
                  </pic:spPr>
                </pic:pic>
              </a:graphicData>
            </a:graphic>
          </wp:inline>
        </w:drawing>
      </w:r>
    </w:p>
    <w:p w14:paraId="71F1FBC1" w14:textId="77777777" w:rsidR="005150AE" w:rsidRPr="00B47E7A" w:rsidRDefault="005150AE" w:rsidP="005150AE">
      <w:pPr>
        <w:pStyle w:val="a5"/>
        <w:contextualSpacing/>
        <w:jc w:val="both"/>
        <w:rPr>
          <w:rFonts w:ascii="Times New Roman" w:hAnsi="Times New Roman"/>
          <w:b/>
          <w:sz w:val="24"/>
          <w:szCs w:val="24"/>
        </w:rPr>
      </w:pPr>
      <w:r w:rsidRPr="00B47E7A">
        <w:rPr>
          <w:rFonts w:ascii="Times New Roman" w:hAnsi="Times New Roman"/>
          <w:b/>
          <w:sz w:val="24"/>
          <w:szCs w:val="24"/>
        </w:rPr>
        <w:t>Рисунок 3</w:t>
      </w:r>
    </w:p>
    <w:p w14:paraId="13E54CF8"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lastRenderedPageBreak/>
        <w:t>14. Держа флакон в слегка наклоненном положении, отберите из него весь раствор в шприц через фильтр-канюлю, медленно и плавно оттягивая поршень. Убедитесь в том, что весь приготовленный раствор перешел в шприц. Удалите воздух из шприца, перевернув флакон вверх дном (рис. 4). Не отсоединяйте наполненный шприц от фильтр-канюли. Отложите флакон со шприцем и фильтр-канюлей до следующей манипуляции.</w:t>
      </w:r>
    </w:p>
    <w:p w14:paraId="75F03222"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noProof/>
          <w:sz w:val="28"/>
          <w:szCs w:val="28"/>
          <w:lang w:eastAsia="ru-RU"/>
        </w:rPr>
        <w:drawing>
          <wp:inline distT="0" distB="0" distL="0" distR="0" wp14:anchorId="711E86D0" wp14:editId="38C2E9AC">
            <wp:extent cx="2243910" cy="1644555"/>
            <wp:effectExtent l="0" t="0" r="4445" b="0"/>
            <wp:docPr id="18" name="Рисунок 18"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mitriy\Desktop\Безымянны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0180" cy="1766414"/>
                    </a:xfrm>
                    <a:prstGeom prst="rect">
                      <a:avLst/>
                    </a:prstGeom>
                    <a:noFill/>
                    <a:ln>
                      <a:noFill/>
                    </a:ln>
                  </pic:spPr>
                </pic:pic>
              </a:graphicData>
            </a:graphic>
          </wp:inline>
        </w:drawing>
      </w:r>
      <w:r w:rsidRPr="00B47E7A">
        <w:rPr>
          <w:rFonts w:ascii="Times New Roman" w:hAnsi="Times New Roman"/>
          <w:sz w:val="24"/>
          <w:szCs w:val="24"/>
        </w:rPr>
        <w:t xml:space="preserve">      </w:t>
      </w:r>
    </w:p>
    <w:p w14:paraId="4EAC4BF9" w14:textId="27E777EB" w:rsidR="005150AE" w:rsidRPr="00B47E7A" w:rsidRDefault="005150AE" w:rsidP="005150AE">
      <w:pPr>
        <w:pStyle w:val="a5"/>
        <w:contextualSpacing/>
        <w:jc w:val="both"/>
        <w:rPr>
          <w:rFonts w:ascii="Times New Roman" w:hAnsi="Times New Roman"/>
          <w:b/>
          <w:sz w:val="24"/>
          <w:szCs w:val="24"/>
        </w:rPr>
      </w:pPr>
      <w:r w:rsidRPr="00B47E7A">
        <w:rPr>
          <w:rFonts w:ascii="Times New Roman" w:hAnsi="Times New Roman"/>
          <w:b/>
          <w:sz w:val="24"/>
          <w:szCs w:val="24"/>
        </w:rPr>
        <w:t>Рисунок 4</w:t>
      </w:r>
    </w:p>
    <w:p w14:paraId="08CE0E48" w14:textId="71DE11DE" w:rsidR="002652A6" w:rsidRPr="00B47E7A" w:rsidRDefault="002652A6" w:rsidP="002652A6">
      <w:pPr>
        <w:pStyle w:val="a5"/>
        <w:contextualSpacing/>
        <w:jc w:val="both"/>
        <w:rPr>
          <w:rFonts w:ascii="Times New Roman" w:hAnsi="Times New Roman"/>
          <w:sz w:val="24"/>
          <w:szCs w:val="24"/>
        </w:rPr>
      </w:pPr>
      <w:r w:rsidRPr="00B47E7A">
        <w:rPr>
          <w:rFonts w:ascii="Times New Roman" w:hAnsi="Times New Roman"/>
          <w:sz w:val="24"/>
          <w:szCs w:val="24"/>
        </w:rPr>
        <w:t>15. Обработайте место инъекции прилагаемой салфеткой спиртовой.</w:t>
      </w:r>
    </w:p>
    <w:p w14:paraId="6406907C" w14:textId="3F5BFE55" w:rsidR="002652A6" w:rsidRPr="00B47E7A" w:rsidRDefault="002652A6" w:rsidP="002652A6">
      <w:pPr>
        <w:pStyle w:val="a5"/>
        <w:contextualSpacing/>
        <w:jc w:val="both"/>
        <w:rPr>
          <w:rFonts w:ascii="Times New Roman" w:hAnsi="Times New Roman"/>
          <w:sz w:val="24"/>
          <w:szCs w:val="24"/>
        </w:rPr>
      </w:pPr>
      <w:r w:rsidRPr="00B47E7A">
        <w:rPr>
          <w:rFonts w:ascii="Times New Roman" w:hAnsi="Times New Roman"/>
          <w:sz w:val="24"/>
          <w:szCs w:val="24"/>
        </w:rPr>
        <w:t>16. В случае успешной пункции, во внутренней части прозрачного павильона должна появиться кровь.</w:t>
      </w:r>
    </w:p>
    <w:p w14:paraId="6AE1C4F4" w14:textId="5802B80F" w:rsidR="002652A6" w:rsidRPr="00B47E7A" w:rsidRDefault="002652A6" w:rsidP="002652A6">
      <w:pPr>
        <w:pStyle w:val="a5"/>
        <w:contextualSpacing/>
        <w:jc w:val="both"/>
        <w:rPr>
          <w:rFonts w:ascii="Times New Roman" w:hAnsi="Times New Roman"/>
          <w:sz w:val="24"/>
          <w:szCs w:val="24"/>
        </w:rPr>
      </w:pPr>
      <w:r w:rsidRPr="00B47E7A">
        <w:rPr>
          <w:rFonts w:ascii="Times New Roman" w:hAnsi="Times New Roman"/>
          <w:sz w:val="24"/>
          <w:szCs w:val="24"/>
        </w:rPr>
        <w:t xml:space="preserve">17. Продвигайте катетер в вену, одновременно осторожно извлекая стальную иглу. </w:t>
      </w:r>
    </w:p>
    <w:p w14:paraId="724DB1A9" w14:textId="122F7010" w:rsidR="002652A6" w:rsidRPr="00B47E7A" w:rsidRDefault="002652A6" w:rsidP="002652A6">
      <w:pPr>
        <w:pStyle w:val="a5"/>
        <w:contextualSpacing/>
        <w:jc w:val="both"/>
        <w:rPr>
          <w:rFonts w:ascii="Times New Roman" w:hAnsi="Times New Roman"/>
          <w:sz w:val="24"/>
          <w:szCs w:val="24"/>
        </w:rPr>
      </w:pPr>
      <w:r w:rsidRPr="00B47E7A">
        <w:rPr>
          <w:rFonts w:ascii="Times New Roman" w:hAnsi="Times New Roman"/>
          <w:sz w:val="24"/>
          <w:szCs w:val="24"/>
        </w:rPr>
        <w:t>18. Используя пластырь фиксирующий, зафиксируйте катетер на коже. При этом стальная игла все еще должна находится внутри катетера, минимизируя утечку крови.</w:t>
      </w:r>
    </w:p>
    <w:p w14:paraId="29A58553" w14:textId="64B6A9D7" w:rsidR="002652A6" w:rsidRPr="00B47E7A" w:rsidRDefault="002652A6" w:rsidP="002652A6">
      <w:pPr>
        <w:pStyle w:val="a5"/>
        <w:contextualSpacing/>
        <w:jc w:val="both"/>
        <w:rPr>
          <w:rFonts w:ascii="Times New Roman" w:hAnsi="Times New Roman"/>
          <w:sz w:val="24"/>
          <w:szCs w:val="24"/>
        </w:rPr>
      </w:pPr>
      <w:r w:rsidRPr="00B47E7A">
        <w:rPr>
          <w:rFonts w:ascii="Times New Roman" w:hAnsi="Times New Roman"/>
          <w:sz w:val="24"/>
          <w:szCs w:val="24"/>
        </w:rPr>
        <w:t>19. Перед удалением стальной иглы пережмите вену у кончика катетера средним пальцем, предотвращая утечку крови. Одновременно придерживайте центр катетера указательным пальцем, предотвращая смещение катетера при извлечении иглы. Полностью извлеките иглу из катетера. Металлическая защитная клипса автоматически закроет острие иглы, в момент, когда она будет полностью извлечена из катетера. Немедленно после извлечения поместите иглу в специальный контейнер.</w:t>
      </w:r>
    </w:p>
    <w:p w14:paraId="4DF88E67" w14:textId="73A3C75F" w:rsidR="002652A6" w:rsidRPr="00B47E7A" w:rsidRDefault="002652A6" w:rsidP="002652A6">
      <w:pPr>
        <w:pStyle w:val="a5"/>
        <w:contextualSpacing/>
        <w:jc w:val="both"/>
        <w:rPr>
          <w:rFonts w:ascii="Times New Roman" w:hAnsi="Times New Roman"/>
          <w:sz w:val="24"/>
          <w:szCs w:val="24"/>
        </w:rPr>
      </w:pPr>
      <w:r w:rsidRPr="00B47E7A">
        <w:rPr>
          <w:rFonts w:ascii="Times New Roman" w:hAnsi="Times New Roman"/>
          <w:sz w:val="24"/>
          <w:szCs w:val="24"/>
        </w:rPr>
        <w:t>20. Препарат вводится через дополнительный инъекционный порт (сверху изделия). Делается это посредством подсоединения конуса шприца легким закручивающим движением. Порт открывается и закрывается автоматически.</w:t>
      </w:r>
    </w:p>
    <w:p w14:paraId="51C2ABF9" w14:textId="77777777" w:rsidR="002652A6" w:rsidRPr="00B47E7A" w:rsidRDefault="002652A6" w:rsidP="002652A6">
      <w:pPr>
        <w:pStyle w:val="a5"/>
        <w:contextualSpacing/>
        <w:jc w:val="both"/>
        <w:rPr>
          <w:rFonts w:ascii="Times New Roman" w:hAnsi="Times New Roman"/>
          <w:sz w:val="24"/>
          <w:szCs w:val="24"/>
        </w:rPr>
      </w:pPr>
      <w:r w:rsidRPr="00B47E7A">
        <w:rPr>
          <w:rFonts w:ascii="Times New Roman" w:hAnsi="Times New Roman"/>
          <w:sz w:val="24"/>
          <w:szCs w:val="24"/>
        </w:rPr>
        <w:t>21. Закройте защитным колпачком дополнительный инъекционный порт.</w:t>
      </w:r>
    </w:p>
    <w:p w14:paraId="05249B86" w14:textId="6CECC28E" w:rsidR="005150AE" w:rsidRPr="00B47E7A" w:rsidRDefault="005150AE" w:rsidP="002652A6">
      <w:pPr>
        <w:pStyle w:val="a5"/>
        <w:contextualSpacing/>
        <w:jc w:val="both"/>
        <w:rPr>
          <w:rFonts w:ascii="Times New Roman" w:hAnsi="Times New Roman"/>
          <w:sz w:val="24"/>
          <w:szCs w:val="24"/>
        </w:rPr>
      </w:pPr>
      <w:r w:rsidRPr="00B47E7A">
        <w:rPr>
          <w:rFonts w:ascii="Times New Roman" w:hAnsi="Times New Roman"/>
          <w:sz w:val="24"/>
          <w:szCs w:val="24"/>
        </w:rPr>
        <w:t>2</w:t>
      </w:r>
      <w:r w:rsidR="002652A6" w:rsidRPr="00B47E7A">
        <w:rPr>
          <w:rFonts w:ascii="Times New Roman" w:hAnsi="Times New Roman"/>
          <w:sz w:val="24"/>
          <w:szCs w:val="24"/>
        </w:rPr>
        <w:t>2</w:t>
      </w:r>
      <w:r w:rsidRPr="00B47E7A">
        <w:rPr>
          <w:rFonts w:ascii="Times New Roman" w:hAnsi="Times New Roman"/>
          <w:sz w:val="24"/>
          <w:szCs w:val="24"/>
        </w:rPr>
        <w:t>. Обеспечьте безопасную утилизацию всех использованных материалов.</w:t>
      </w:r>
    </w:p>
    <w:p w14:paraId="686F05B2" w14:textId="3569547B"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Если необходимо ввести более одной дозы препарата, аналогичным образом приготовьте раствор во флаконе из другой упаковки, используя прилагаемый растворитель, а затем соедините растворы в шприце большего объема (не прилагается) и введите препарат в обычном порядке.</w:t>
      </w:r>
    </w:p>
    <w:p w14:paraId="063A6957" w14:textId="77777777" w:rsidR="005150AE" w:rsidRPr="00B47E7A" w:rsidRDefault="005150AE" w:rsidP="005150AE">
      <w:pPr>
        <w:pStyle w:val="a5"/>
        <w:contextualSpacing/>
        <w:jc w:val="both"/>
        <w:rPr>
          <w:rFonts w:ascii="Times New Roman" w:hAnsi="Times New Roman"/>
          <w:sz w:val="24"/>
          <w:szCs w:val="24"/>
        </w:rPr>
      </w:pPr>
      <w:r w:rsidRPr="00B47E7A">
        <w:rPr>
          <w:rFonts w:ascii="Times New Roman" w:hAnsi="Times New Roman"/>
          <w:sz w:val="24"/>
          <w:szCs w:val="24"/>
        </w:rPr>
        <w:t>Приготовленный раствор должен использоваться сразу после разведения. Если инъекция по какой-либо причине откладывается, флакон с приготовленным раствором препарата следует хранить при температуре от 2°С до 8°С не более 12 часов без замораживания или при температуре не выше 25°С не более 6 часов. Неиспользованный за это время раствор не должен применяться, его необходимо выкинуть.</w:t>
      </w:r>
    </w:p>
    <w:p w14:paraId="7ED22943" w14:textId="5F85FE27" w:rsidR="005150AE" w:rsidRPr="00B47E7A" w:rsidRDefault="005150AE" w:rsidP="003B6A77">
      <w:pPr>
        <w:jc w:val="center"/>
        <w:rPr>
          <w:lang w:eastAsia="en-US"/>
        </w:rPr>
      </w:pPr>
    </w:p>
    <w:p w14:paraId="35B94DB0" w14:textId="02F9A2A8" w:rsidR="00DD1AC5" w:rsidRPr="00B47E7A" w:rsidRDefault="00DD1AC5" w:rsidP="00DD1AC5">
      <w:pPr>
        <w:contextualSpacing/>
        <w:jc w:val="both"/>
        <w:rPr>
          <w:b/>
        </w:rPr>
      </w:pPr>
      <w:r w:rsidRPr="00B47E7A">
        <w:rPr>
          <w:b/>
          <w:lang w:bidi="ru-RU"/>
        </w:rPr>
        <w:t xml:space="preserve">Особые указания и </w:t>
      </w:r>
      <w:r w:rsidRPr="00B47E7A">
        <w:rPr>
          <w:b/>
        </w:rPr>
        <w:t>меры предосторожности при применении</w:t>
      </w:r>
      <w:r w:rsidR="008B53DE" w:rsidRPr="00B47E7A">
        <w:rPr>
          <w:b/>
        </w:rPr>
        <w:t xml:space="preserve"> препарата Октоклотин</w:t>
      </w:r>
    </w:p>
    <w:p w14:paraId="20E63181" w14:textId="77777777" w:rsidR="00DD1AC5" w:rsidRPr="00B47E7A" w:rsidRDefault="00DD1AC5" w:rsidP="00DD1AC5">
      <w:pPr>
        <w:shd w:val="clear" w:color="auto" w:fill="FFFFFF"/>
        <w:contextualSpacing/>
        <w:jc w:val="both"/>
        <w:rPr>
          <w:i/>
          <w:color w:val="000000"/>
        </w:rPr>
      </w:pPr>
      <w:r w:rsidRPr="00B47E7A">
        <w:rPr>
          <w:i/>
          <w:color w:val="000000"/>
        </w:rPr>
        <w:t xml:space="preserve">Прослеживаемость </w:t>
      </w:r>
    </w:p>
    <w:p w14:paraId="3A05F02A" w14:textId="1D64EE13" w:rsidR="00DD1AC5" w:rsidRPr="00B47E7A" w:rsidRDefault="00DD1AC5" w:rsidP="00DD1AC5">
      <w:pPr>
        <w:shd w:val="clear" w:color="auto" w:fill="FFFFFF"/>
        <w:contextualSpacing/>
        <w:jc w:val="both"/>
        <w:rPr>
          <w:iCs/>
          <w:color w:val="000000"/>
        </w:rPr>
      </w:pPr>
      <w:r w:rsidRPr="00B47E7A">
        <w:rPr>
          <w:iCs/>
          <w:color w:val="000000"/>
        </w:rPr>
        <w:t xml:space="preserve">При каждом введении </w:t>
      </w:r>
      <w:r w:rsidRPr="00B47E7A">
        <w:t>препарата Октоклотин пациенту рекоменд</w:t>
      </w:r>
      <w:r w:rsidR="008B53DE" w:rsidRPr="00B47E7A">
        <w:t>уется</w:t>
      </w:r>
      <w:r w:rsidRPr="00B47E7A">
        <w:t xml:space="preserve"> записывать название и номер серии препарата, указанные на упаковке. Данная информация может потребоваться для прослеживаемости связи между пациентом и номером серии лекарственного препарата.</w:t>
      </w:r>
    </w:p>
    <w:p w14:paraId="10DB4DFB" w14:textId="77777777" w:rsidR="00DD1AC5" w:rsidRPr="00B47E7A" w:rsidRDefault="00DD1AC5" w:rsidP="00DD1AC5">
      <w:pPr>
        <w:shd w:val="clear" w:color="auto" w:fill="FFFFFF"/>
        <w:contextualSpacing/>
        <w:jc w:val="both"/>
        <w:rPr>
          <w:i/>
          <w:color w:val="000000"/>
        </w:rPr>
      </w:pPr>
      <w:r w:rsidRPr="00B47E7A">
        <w:rPr>
          <w:i/>
          <w:color w:val="000000"/>
        </w:rPr>
        <w:t>Реакции гиперчувствительности</w:t>
      </w:r>
    </w:p>
    <w:p w14:paraId="0E6386E5" w14:textId="378F0539" w:rsidR="00DD1AC5" w:rsidRPr="00B47E7A" w:rsidRDefault="00DD1AC5" w:rsidP="00DD1AC5">
      <w:pPr>
        <w:shd w:val="clear" w:color="auto" w:fill="FFFFFF"/>
        <w:contextualSpacing/>
        <w:jc w:val="both"/>
        <w:rPr>
          <w:color w:val="000000"/>
        </w:rPr>
      </w:pPr>
      <w:r w:rsidRPr="00B47E7A">
        <w:rPr>
          <w:color w:val="000000"/>
        </w:rPr>
        <w:t>Пациент</w:t>
      </w:r>
      <w:r w:rsidR="008B53DE" w:rsidRPr="00B47E7A">
        <w:rPr>
          <w:color w:val="000000"/>
        </w:rPr>
        <w:t>ы</w:t>
      </w:r>
      <w:r w:rsidRPr="00B47E7A">
        <w:rPr>
          <w:color w:val="000000"/>
        </w:rPr>
        <w:t xml:space="preserve"> </w:t>
      </w:r>
      <w:r w:rsidR="008B53DE" w:rsidRPr="00B47E7A">
        <w:rPr>
          <w:color w:val="000000"/>
        </w:rPr>
        <w:t>должны быть</w:t>
      </w:r>
      <w:r w:rsidRPr="00B47E7A">
        <w:rPr>
          <w:color w:val="000000"/>
        </w:rPr>
        <w:t xml:space="preserve"> проинформирова</w:t>
      </w:r>
      <w:r w:rsidR="008B53DE" w:rsidRPr="00B47E7A">
        <w:rPr>
          <w:color w:val="000000"/>
        </w:rPr>
        <w:t>ны</w:t>
      </w:r>
      <w:r w:rsidRPr="00B47E7A">
        <w:rPr>
          <w:color w:val="000000"/>
        </w:rPr>
        <w:t xml:space="preserve"> о ранних признаках реакций гиперчувствительности, включая генерализованную сыпь, крапивницу, стесненность в груди, хрипы, гипотонию и анафилаксию. При развитии шока необходимо предпринять стандартное противошоковое лечение.</w:t>
      </w:r>
    </w:p>
    <w:p w14:paraId="1B3AA9D4" w14:textId="77777777" w:rsidR="00DD1AC5" w:rsidRPr="00B47E7A" w:rsidRDefault="00DD1AC5" w:rsidP="00DD1AC5">
      <w:pPr>
        <w:shd w:val="clear" w:color="auto" w:fill="FFFFFF"/>
        <w:contextualSpacing/>
        <w:jc w:val="both"/>
        <w:rPr>
          <w:i/>
          <w:color w:val="000000"/>
        </w:rPr>
      </w:pPr>
      <w:r w:rsidRPr="00B47E7A">
        <w:rPr>
          <w:i/>
          <w:color w:val="000000"/>
        </w:rPr>
        <w:t>Образование нейтрализующих антител</w:t>
      </w:r>
    </w:p>
    <w:p w14:paraId="1DDFB3C4" w14:textId="7E7C7C7D" w:rsidR="00DD1AC5" w:rsidRPr="00B47E7A" w:rsidRDefault="00DD1AC5" w:rsidP="00DD1AC5">
      <w:pPr>
        <w:contextualSpacing/>
        <w:jc w:val="both"/>
        <w:rPr>
          <w:color w:val="000000"/>
        </w:rPr>
      </w:pPr>
      <w:r w:rsidRPr="00B47E7A">
        <w:rPr>
          <w:color w:val="000000"/>
        </w:rPr>
        <w:lastRenderedPageBreak/>
        <w:t>Все пациенты, леч</w:t>
      </w:r>
      <w:r w:rsidR="008B53DE" w:rsidRPr="00B47E7A">
        <w:rPr>
          <w:color w:val="000000"/>
        </w:rPr>
        <w:t>ащиеся</w:t>
      </w:r>
      <w:r w:rsidRPr="00B47E7A">
        <w:rPr>
          <w:color w:val="000000"/>
        </w:rPr>
        <w:t xml:space="preserve"> препаратами, содержащими фактор VIII, должны тщательно проверяться на наличие нейтрализующих антител, путем проведения лабораторных тестов в специализированных клиниках.</w:t>
      </w:r>
    </w:p>
    <w:p w14:paraId="2A001A6E" w14:textId="77777777" w:rsidR="00DD1AC5" w:rsidRPr="00B47E7A" w:rsidRDefault="00DD1AC5" w:rsidP="00DD1AC5">
      <w:pPr>
        <w:contextualSpacing/>
        <w:jc w:val="both"/>
        <w:rPr>
          <w:color w:val="000000"/>
        </w:rPr>
      </w:pPr>
      <w:r w:rsidRPr="00B47E7A">
        <w:rPr>
          <w:color w:val="000000"/>
        </w:rPr>
        <w:t>Если ожидаемый уровень активности фактора VIII в плазме не достигнут, или, если не удается устранить кровотечение соответствующей дозой, то необходимо провести анализ на присутствие нейтрализующих антител к фактору VIII. У пациентов с высокими уровнями нейтрализующих антител терапия фактором VIII может быть не эффективна и следует рассмотреть другие варианты терапии. Лечение таких пациентов должно проводиться квалифицированными врачами, с опытом лечения гемофилии с нейтрализующими антителами к фактору VIII.</w:t>
      </w:r>
    </w:p>
    <w:p w14:paraId="6102B896" w14:textId="77777777" w:rsidR="00DD1AC5" w:rsidRPr="00B47E7A" w:rsidRDefault="00DD1AC5" w:rsidP="00DD1AC5">
      <w:pPr>
        <w:shd w:val="clear" w:color="auto" w:fill="FFFFFF"/>
        <w:contextualSpacing/>
        <w:jc w:val="both"/>
        <w:rPr>
          <w:i/>
          <w:color w:val="000000"/>
        </w:rPr>
      </w:pPr>
      <w:r w:rsidRPr="00B47E7A">
        <w:rPr>
          <w:i/>
          <w:color w:val="000000"/>
        </w:rPr>
        <w:t>Катетер-ассоциированные инфекционные и тромботические осложнения</w:t>
      </w:r>
    </w:p>
    <w:p w14:paraId="40704F66" w14:textId="77777777" w:rsidR="00DD1AC5" w:rsidRPr="00B47E7A" w:rsidRDefault="00DD1AC5" w:rsidP="00DD1AC5">
      <w:pPr>
        <w:shd w:val="clear" w:color="auto" w:fill="FFFFFF"/>
        <w:contextualSpacing/>
        <w:jc w:val="both"/>
        <w:rPr>
          <w:color w:val="000000"/>
        </w:rPr>
      </w:pPr>
      <w:r w:rsidRPr="00B47E7A">
        <w:rPr>
          <w:color w:val="000000"/>
        </w:rPr>
        <w:t>Следует учитывать риск возникновения катетер-ассоциированных инфекционных и тромботических осложнений, включая местные воспалительные реакции и бактериемию у пациентов с установленным центральным венозным катетером.</w:t>
      </w:r>
    </w:p>
    <w:p w14:paraId="2FA2CE07" w14:textId="77777777" w:rsidR="00DD1AC5" w:rsidRPr="00B47E7A" w:rsidRDefault="00DD1AC5" w:rsidP="00DD1AC5">
      <w:pPr>
        <w:shd w:val="clear" w:color="auto" w:fill="FFFFFF"/>
        <w:contextualSpacing/>
        <w:jc w:val="both"/>
        <w:rPr>
          <w:i/>
          <w:color w:val="000000"/>
        </w:rPr>
      </w:pPr>
      <w:r w:rsidRPr="00B47E7A">
        <w:rPr>
          <w:i/>
          <w:color w:val="000000"/>
        </w:rPr>
        <w:t>Содержание натрия</w:t>
      </w:r>
    </w:p>
    <w:p w14:paraId="13C6B172" w14:textId="77777777" w:rsidR="00DD1AC5" w:rsidRPr="00B47E7A" w:rsidRDefault="00DD1AC5" w:rsidP="00DD1AC5">
      <w:pPr>
        <w:shd w:val="clear" w:color="auto" w:fill="FFFFFF"/>
        <w:contextualSpacing/>
        <w:jc w:val="both"/>
        <w:rPr>
          <w:color w:val="000000"/>
        </w:rPr>
      </w:pPr>
      <w:r w:rsidRPr="00B47E7A">
        <w:rPr>
          <w:color w:val="000000"/>
        </w:rPr>
        <w:t>Для пациентов, которые контролируют поступление натрия с пищей, необходимо принимать во внимание, что в одном флаконе приготовленного раствора препарата Октоклотин содержится 1.23 ммоль (29 мг) натрия.</w:t>
      </w:r>
    </w:p>
    <w:p w14:paraId="48922028" w14:textId="77777777" w:rsidR="00DD1AC5" w:rsidRPr="00B47E7A" w:rsidRDefault="00DD1AC5" w:rsidP="00DD1AC5">
      <w:pPr>
        <w:widowControl w:val="0"/>
        <w:tabs>
          <w:tab w:val="left" w:pos="567"/>
        </w:tabs>
        <w:contextualSpacing/>
        <w:jc w:val="both"/>
        <w:rPr>
          <w:i/>
          <w:lang w:bidi="ru-RU"/>
        </w:rPr>
      </w:pPr>
      <w:r w:rsidRPr="00B47E7A">
        <w:rPr>
          <w:i/>
          <w:lang w:bidi="ru-RU"/>
        </w:rPr>
        <w:t>Сердечно-сосудистые заболевания</w:t>
      </w:r>
    </w:p>
    <w:p w14:paraId="28E86BC9" w14:textId="77777777" w:rsidR="00DD1AC5" w:rsidRPr="00B47E7A" w:rsidRDefault="00DD1AC5" w:rsidP="00DD1AC5">
      <w:pPr>
        <w:widowControl w:val="0"/>
        <w:tabs>
          <w:tab w:val="left" w:pos="567"/>
        </w:tabs>
        <w:contextualSpacing/>
        <w:jc w:val="both"/>
        <w:rPr>
          <w:lang w:bidi="ru-RU"/>
        </w:rPr>
      </w:pPr>
      <w:r w:rsidRPr="00B47E7A">
        <w:rPr>
          <w:lang w:bidi="ru-RU"/>
        </w:rPr>
        <w:t>У пациентов с имеющимися факторами риска развития сердечно-сосудистых заболеваний заместительная терапия фактором VIII может повышать риск сердечно-сосудистых заболеваний.</w:t>
      </w:r>
    </w:p>
    <w:p w14:paraId="777BBBE8" w14:textId="77777777" w:rsidR="00DD1AC5" w:rsidRPr="00B47E7A" w:rsidRDefault="00DD1AC5" w:rsidP="00DD1AC5">
      <w:pPr>
        <w:shd w:val="clear" w:color="auto" w:fill="FFFFFF"/>
        <w:contextualSpacing/>
        <w:jc w:val="both"/>
        <w:rPr>
          <w:i/>
          <w:color w:val="000000"/>
        </w:rPr>
      </w:pPr>
      <w:r w:rsidRPr="00B47E7A">
        <w:rPr>
          <w:i/>
          <w:color w:val="000000"/>
        </w:rPr>
        <w:t>Сообщения о недостаточном эффекте препарата</w:t>
      </w:r>
    </w:p>
    <w:p w14:paraId="60E4B4D5" w14:textId="24F5A94F" w:rsidR="00DD1AC5" w:rsidRPr="00B47E7A" w:rsidRDefault="00DD1AC5" w:rsidP="00DD1AC5">
      <w:pPr>
        <w:shd w:val="clear" w:color="auto" w:fill="FFFFFF"/>
        <w:contextualSpacing/>
        <w:jc w:val="both"/>
      </w:pPr>
      <w:r w:rsidRPr="00B47E7A">
        <w:rPr>
          <w:color w:val="000000"/>
        </w:rPr>
        <w:t xml:space="preserve">Имеются данные о недостаточном эффекте </w:t>
      </w:r>
      <w:proofErr w:type="spellStart"/>
      <w:r w:rsidRPr="00B47E7A">
        <w:rPr>
          <w:color w:val="000000"/>
        </w:rPr>
        <w:t>мороктокога</w:t>
      </w:r>
      <w:proofErr w:type="spellEnd"/>
      <w:r w:rsidRPr="00B47E7A">
        <w:rPr>
          <w:color w:val="000000"/>
        </w:rPr>
        <w:t xml:space="preserve"> альфа. Недостаточность эффекта </w:t>
      </w:r>
      <w:r w:rsidRPr="00B47E7A">
        <w:t>проявлялась в виде повторных кровотечений в суставы, которые были поражены раннее, а также в виде первичных кровотечений в суставы, до этого не вовлеченных в процесс.</w:t>
      </w:r>
    </w:p>
    <w:p w14:paraId="58625722" w14:textId="77777777" w:rsidR="00DD1AC5" w:rsidRPr="00B47E7A" w:rsidRDefault="00DD1AC5" w:rsidP="00DD1AC5">
      <w:pPr>
        <w:shd w:val="clear" w:color="auto" w:fill="FFFFFF"/>
        <w:contextualSpacing/>
        <w:jc w:val="both"/>
        <w:rPr>
          <w:i/>
          <w:color w:val="000000"/>
        </w:rPr>
      </w:pPr>
      <w:r w:rsidRPr="00B47E7A">
        <w:rPr>
          <w:i/>
          <w:color w:val="000000"/>
        </w:rPr>
        <w:t>Применение у детей</w:t>
      </w:r>
    </w:p>
    <w:p w14:paraId="4FB5AA90" w14:textId="19F02796" w:rsidR="00DD1AC5" w:rsidRPr="00B47E7A" w:rsidRDefault="00DD1AC5" w:rsidP="00DD1AC5">
      <w:pPr>
        <w:jc w:val="both"/>
      </w:pPr>
      <w:r w:rsidRPr="00B47E7A">
        <w:t xml:space="preserve">Препарат Октоклотин нельзя применять пациентам в возрасте до </w:t>
      </w:r>
      <w:r w:rsidR="00BA1353" w:rsidRPr="00B47E7A">
        <w:t>12</w:t>
      </w:r>
      <w:r w:rsidRPr="00B47E7A">
        <w:t xml:space="preserve"> лет (отсутствует опыт применения).</w:t>
      </w:r>
    </w:p>
    <w:p w14:paraId="45F004CD" w14:textId="77777777" w:rsidR="005150AE" w:rsidRPr="00B47E7A" w:rsidRDefault="005150AE" w:rsidP="003B6A77">
      <w:pPr>
        <w:jc w:val="center"/>
        <w:rPr>
          <w:lang w:eastAsia="en-US"/>
        </w:rPr>
      </w:pPr>
    </w:p>
    <w:bookmarkEnd w:id="0"/>
    <w:p w14:paraId="7AC5C501" w14:textId="77777777" w:rsidR="003B6A77" w:rsidRPr="00B47E7A" w:rsidRDefault="003B6A77" w:rsidP="003B6A77">
      <w:pPr>
        <w:spacing w:line="259" w:lineRule="auto"/>
        <w:jc w:val="both"/>
        <w:rPr>
          <w:rFonts w:eastAsia="Calibri"/>
          <w:b/>
          <w:lang w:eastAsia="en-US"/>
        </w:rPr>
      </w:pPr>
      <w:r w:rsidRPr="00B47E7A">
        <w:rPr>
          <w:rFonts w:eastAsia="Calibri"/>
          <w:b/>
          <w:lang w:eastAsia="en-US"/>
        </w:rPr>
        <w:t>Сообщение о подозреваемых нежелательных реакциях</w:t>
      </w:r>
    </w:p>
    <w:p w14:paraId="1023A596" w14:textId="77777777" w:rsidR="003B6A77" w:rsidRPr="00B47E7A" w:rsidRDefault="003B6A77" w:rsidP="003B6A77">
      <w:pPr>
        <w:jc w:val="both"/>
      </w:pPr>
      <w:r w:rsidRPr="00B47E7A">
        <w:t>Важно сообщать о подозреваемых нежелательных реакциях после регистрации лекарственного препарата с целью обеспечения непрерывного мониторинга соотношения «польза-риск» лекарственного препарата. Медицинским работникам рекомендуется сообщать о любых подозреваемых нежелательных реакциях лекарственного препарата через национальную систему сообщения о нежелательных реакциях Республики Казахстан:</w:t>
      </w:r>
    </w:p>
    <w:p w14:paraId="42942676" w14:textId="77777777" w:rsidR="003B6A77" w:rsidRPr="00B47E7A" w:rsidRDefault="003B6A77" w:rsidP="003B6A77">
      <w:pPr>
        <w:shd w:val="clear" w:color="auto" w:fill="FFFFFF"/>
        <w:autoSpaceDE w:val="0"/>
        <w:autoSpaceDN w:val="0"/>
        <w:adjustRightInd w:val="0"/>
        <w:jc w:val="both"/>
        <w:rPr>
          <w:rFonts w:eastAsia="Calibri"/>
          <w:lang w:eastAsia="en-US"/>
        </w:rPr>
      </w:pPr>
      <w:r w:rsidRPr="00B47E7A">
        <w:t xml:space="preserve">РГП на ПХВ «Национальный Центр экспертизы лекарственных средств и медицинских изделий» Комитет контроля качества и безопасности товаров и услуг Министерства здравоохранения Республики Казахстан: </w:t>
      </w:r>
      <w:r w:rsidR="00B47E7A" w:rsidRPr="00B47E7A">
        <w:rPr>
          <w:lang w:val="en-US"/>
        </w:rPr>
        <w:fldChar w:fldCharType="begin"/>
      </w:r>
      <w:r w:rsidR="00B47E7A" w:rsidRPr="00B47E7A">
        <w:instrText xml:space="preserve"> </w:instrText>
      </w:r>
      <w:r w:rsidR="00B47E7A" w:rsidRPr="00B47E7A">
        <w:rPr>
          <w:lang w:val="en-US"/>
        </w:rPr>
        <w:instrText>HYPERLINK</w:instrText>
      </w:r>
      <w:r w:rsidR="00B47E7A" w:rsidRPr="00B47E7A">
        <w:instrText xml:space="preserve"> "</w:instrText>
      </w:r>
      <w:r w:rsidR="00B47E7A" w:rsidRPr="00B47E7A">
        <w:rPr>
          <w:lang w:val="en-US"/>
        </w:rPr>
        <w:instrText>http</w:instrText>
      </w:r>
      <w:r w:rsidR="00B47E7A" w:rsidRPr="00B47E7A">
        <w:instrText>://</w:instrText>
      </w:r>
      <w:r w:rsidR="00B47E7A" w:rsidRPr="00B47E7A">
        <w:rPr>
          <w:lang w:val="en-US"/>
        </w:rPr>
        <w:instrText>www</w:instrText>
      </w:r>
      <w:r w:rsidR="00B47E7A" w:rsidRPr="00B47E7A">
        <w:instrText>.</w:instrText>
      </w:r>
      <w:r w:rsidR="00B47E7A" w:rsidRPr="00B47E7A">
        <w:rPr>
          <w:lang w:val="en-US"/>
        </w:rPr>
        <w:instrText>ndda</w:instrText>
      </w:r>
      <w:r w:rsidR="00B47E7A" w:rsidRPr="00B47E7A">
        <w:instrText>.</w:instrText>
      </w:r>
      <w:r w:rsidR="00B47E7A" w:rsidRPr="00B47E7A">
        <w:rPr>
          <w:lang w:val="en-US"/>
        </w:rPr>
        <w:instrText>kz</w:instrText>
      </w:r>
      <w:r w:rsidR="00B47E7A" w:rsidRPr="00B47E7A">
        <w:instrText xml:space="preserve">" </w:instrText>
      </w:r>
      <w:r w:rsidR="00B47E7A" w:rsidRPr="00B47E7A">
        <w:rPr>
          <w:lang w:val="en-US"/>
        </w:rPr>
        <w:fldChar w:fldCharType="separate"/>
      </w:r>
      <w:r w:rsidRPr="00B47E7A">
        <w:rPr>
          <w:lang w:val="en-US"/>
        </w:rPr>
        <w:t>http</w:t>
      </w:r>
      <w:r w:rsidRPr="00B47E7A">
        <w:t>://</w:t>
      </w:r>
      <w:r w:rsidRPr="00B47E7A">
        <w:rPr>
          <w:lang w:val="en-US"/>
        </w:rPr>
        <w:t>www</w:t>
      </w:r>
      <w:r w:rsidRPr="00B47E7A">
        <w:t>.</w:t>
      </w:r>
      <w:r w:rsidRPr="00B47E7A">
        <w:rPr>
          <w:lang w:val="en-US"/>
        </w:rPr>
        <w:t>ndda</w:t>
      </w:r>
      <w:r w:rsidRPr="00B47E7A">
        <w:t>.</w:t>
      </w:r>
      <w:r w:rsidRPr="00B47E7A">
        <w:rPr>
          <w:lang w:val="en-US"/>
        </w:rPr>
        <w:t>kz</w:t>
      </w:r>
      <w:r w:rsidR="00B47E7A" w:rsidRPr="00B47E7A">
        <w:rPr>
          <w:lang w:val="en-US"/>
        </w:rPr>
        <w:fldChar w:fldCharType="end"/>
      </w:r>
      <w:r w:rsidRPr="00B47E7A">
        <w:t xml:space="preserve">, </w:t>
      </w:r>
      <w:r w:rsidRPr="00B47E7A">
        <w:rPr>
          <w:rFonts w:eastAsia="Calibri"/>
          <w:lang w:eastAsia="en-US"/>
        </w:rPr>
        <w:t>e-</w:t>
      </w:r>
      <w:proofErr w:type="spellStart"/>
      <w:r w:rsidRPr="00B47E7A">
        <w:rPr>
          <w:rFonts w:eastAsia="Calibri"/>
          <w:lang w:eastAsia="en-US"/>
        </w:rPr>
        <w:t>mail</w:t>
      </w:r>
      <w:proofErr w:type="spellEnd"/>
      <w:r w:rsidRPr="00B47E7A">
        <w:rPr>
          <w:rFonts w:eastAsia="Calibri"/>
          <w:lang w:eastAsia="en-US"/>
        </w:rPr>
        <w:t xml:space="preserve">: </w:t>
      </w:r>
      <w:hyperlink r:id="rId16" w:history="1">
        <w:r w:rsidRPr="00B47E7A">
          <w:rPr>
            <w:rStyle w:val="a4"/>
            <w:rFonts w:eastAsia="Calibri"/>
            <w:lang w:eastAsia="en-US"/>
          </w:rPr>
          <w:t>pdlc@dari.kz</w:t>
        </w:r>
      </w:hyperlink>
      <w:r w:rsidRPr="00B47E7A">
        <w:rPr>
          <w:rFonts w:eastAsia="Calibri"/>
          <w:lang w:eastAsia="en-US"/>
        </w:rPr>
        <w:t>, номер телефон 8 (7172) 78 98 28.</w:t>
      </w:r>
    </w:p>
    <w:p w14:paraId="489454D5" w14:textId="77777777" w:rsidR="003B6A77" w:rsidRPr="00B47E7A" w:rsidRDefault="003B6A77" w:rsidP="003B6A77">
      <w:pPr>
        <w:spacing w:line="259" w:lineRule="auto"/>
        <w:jc w:val="both"/>
        <w:rPr>
          <w:rFonts w:eastAsia="Calibri"/>
          <w:lang w:eastAsia="en-US"/>
        </w:rPr>
      </w:pPr>
    </w:p>
    <w:p w14:paraId="7D8752A8" w14:textId="77777777" w:rsidR="003B6A77" w:rsidRPr="00B47E7A" w:rsidRDefault="003B6A77" w:rsidP="003B6A77">
      <w:pPr>
        <w:spacing w:line="259" w:lineRule="auto"/>
        <w:jc w:val="both"/>
        <w:rPr>
          <w:rFonts w:eastAsia="Calibri"/>
          <w:lang w:eastAsia="en-US"/>
        </w:rPr>
      </w:pPr>
      <w:r w:rsidRPr="00B47E7A">
        <w:rPr>
          <w:rFonts w:eastAsia="Calibri"/>
          <w:lang w:eastAsia="en-US"/>
        </w:rPr>
        <w:t xml:space="preserve">О нежелательных реакциях, возникающих при использовании лекарственных препаратов, произведённых компанией ТОО «КФК», следует сообщать в ТОО «КФК» Отдел по фармаконадзору: </w:t>
      </w:r>
    </w:p>
    <w:p w14:paraId="4B7AEAB8" w14:textId="77777777" w:rsidR="003B6A77" w:rsidRPr="00B47E7A" w:rsidRDefault="003B6A77" w:rsidP="003B6A77">
      <w:pPr>
        <w:spacing w:line="259" w:lineRule="auto"/>
        <w:jc w:val="both"/>
        <w:rPr>
          <w:rFonts w:eastAsia="Calibri"/>
          <w:lang w:eastAsia="en-US"/>
        </w:rPr>
      </w:pPr>
      <w:r w:rsidRPr="00B47E7A">
        <w:rPr>
          <w:rFonts w:eastAsia="Calibri"/>
          <w:lang w:eastAsia="en-US"/>
        </w:rPr>
        <w:t>ТОО «Карагандинский фармацевтический комплекс» Республика Казахстан</w:t>
      </w:r>
    </w:p>
    <w:p w14:paraId="458B8011" w14:textId="77777777" w:rsidR="003B6A77" w:rsidRPr="00B47E7A" w:rsidRDefault="003B6A77" w:rsidP="003B6A77">
      <w:pPr>
        <w:spacing w:line="259" w:lineRule="auto"/>
        <w:jc w:val="both"/>
        <w:rPr>
          <w:rFonts w:eastAsia="Calibri"/>
          <w:lang w:eastAsia="en-US"/>
        </w:rPr>
      </w:pPr>
      <w:r w:rsidRPr="00B47E7A">
        <w:rPr>
          <w:rFonts w:eastAsia="Calibri"/>
          <w:lang w:eastAsia="en-US"/>
        </w:rPr>
        <w:t>100009, г. Караганда, ул. Газалиева, стр. 16</w:t>
      </w:r>
    </w:p>
    <w:p w14:paraId="13BCE33F" w14:textId="77777777" w:rsidR="003B6A77" w:rsidRPr="00B47E7A" w:rsidRDefault="003B6A77" w:rsidP="003B6A77">
      <w:pPr>
        <w:spacing w:line="259" w:lineRule="auto"/>
        <w:jc w:val="both"/>
        <w:rPr>
          <w:rFonts w:eastAsia="Calibri"/>
          <w:lang w:eastAsia="en-US"/>
        </w:rPr>
      </w:pPr>
      <w:r w:rsidRPr="00B47E7A">
        <w:rPr>
          <w:rFonts w:eastAsia="Calibri"/>
          <w:lang w:eastAsia="en-US"/>
        </w:rPr>
        <w:t xml:space="preserve">Номер телефона 8 (7212) 90-80-43, факс (7212) 90-65-49 </w:t>
      </w:r>
    </w:p>
    <w:p w14:paraId="50669DE9" w14:textId="77777777" w:rsidR="003B6A77" w:rsidRPr="00B47E7A" w:rsidRDefault="003B6A77" w:rsidP="003B6A77">
      <w:pPr>
        <w:spacing w:line="259" w:lineRule="auto"/>
        <w:jc w:val="both"/>
        <w:rPr>
          <w:rFonts w:eastAsia="Calibri"/>
          <w:lang w:eastAsia="en-US"/>
        </w:rPr>
      </w:pPr>
      <w:r w:rsidRPr="00B47E7A">
        <w:rPr>
          <w:rFonts w:eastAsia="Calibri"/>
          <w:lang w:eastAsia="en-US"/>
        </w:rPr>
        <w:t>Адрес электронной почты medinfo@kphk.kz.</w:t>
      </w:r>
    </w:p>
    <w:p w14:paraId="0BC4CC10" w14:textId="77777777" w:rsidR="003B6A77" w:rsidRPr="00B47E7A" w:rsidRDefault="003B6A77" w:rsidP="003B6A77">
      <w:pPr>
        <w:spacing w:line="259" w:lineRule="auto"/>
        <w:jc w:val="both"/>
        <w:rPr>
          <w:rFonts w:eastAsia="Calibri"/>
          <w:b/>
          <w:lang w:eastAsia="en-US"/>
        </w:rPr>
      </w:pPr>
    </w:p>
    <w:p w14:paraId="17D5422E" w14:textId="77777777" w:rsidR="003B6A77" w:rsidRPr="00B47E7A" w:rsidRDefault="003B6A77" w:rsidP="003B6A77">
      <w:pPr>
        <w:spacing w:line="259" w:lineRule="auto"/>
        <w:jc w:val="both"/>
        <w:rPr>
          <w:rFonts w:eastAsia="Calibri"/>
          <w:b/>
          <w:lang w:eastAsia="en-US"/>
        </w:rPr>
      </w:pPr>
      <w:r w:rsidRPr="00B47E7A">
        <w:rPr>
          <w:rFonts w:eastAsia="Calibri"/>
          <w:b/>
          <w:lang w:eastAsia="en-US"/>
        </w:rPr>
        <w:t>Адрес и номер телефона Компании</w:t>
      </w:r>
    </w:p>
    <w:p w14:paraId="6B58934F" w14:textId="77777777" w:rsidR="003B6A77" w:rsidRPr="00B47E7A" w:rsidRDefault="003B6A77" w:rsidP="003B6A77">
      <w:pPr>
        <w:spacing w:line="259" w:lineRule="auto"/>
        <w:jc w:val="both"/>
        <w:rPr>
          <w:rFonts w:eastAsia="Calibri"/>
          <w:lang w:eastAsia="en-US"/>
        </w:rPr>
      </w:pPr>
      <w:r w:rsidRPr="00B47E7A">
        <w:rPr>
          <w:rFonts w:eastAsia="Calibri"/>
          <w:lang w:eastAsia="en-US"/>
        </w:rPr>
        <w:t xml:space="preserve">Если у вас возникнут какие-либо вопросы или потребуется дополнительная информация, вы можете обратиться в Отдел по фармаконадзору по адресу: </w:t>
      </w:r>
    </w:p>
    <w:p w14:paraId="40182B2B" w14:textId="77777777" w:rsidR="003B6A77" w:rsidRPr="00B47E7A" w:rsidRDefault="003B6A77" w:rsidP="003B6A77">
      <w:pPr>
        <w:spacing w:line="259" w:lineRule="auto"/>
        <w:jc w:val="both"/>
        <w:rPr>
          <w:rFonts w:eastAsia="Calibri"/>
          <w:lang w:eastAsia="en-US"/>
        </w:rPr>
      </w:pPr>
      <w:r w:rsidRPr="00B47E7A">
        <w:rPr>
          <w:rFonts w:eastAsia="Calibri"/>
          <w:lang w:eastAsia="en-US"/>
        </w:rPr>
        <w:t>ТОО «Карагандинский фармацевтический комплекс» Республика Казахстан</w:t>
      </w:r>
    </w:p>
    <w:p w14:paraId="7A3CF8FE" w14:textId="77777777" w:rsidR="003B6A77" w:rsidRPr="00B47E7A" w:rsidRDefault="003B6A77" w:rsidP="003B6A77">
      <w:pPr>
        <w:spacing w:line="259" w:lineRule="auto"/>
        <w:jc w:val="both"/>
        <w:rPr>
          <w:rFonts w:eastAsia="Calibri"/>
          <w:lang w:eastAsia="en-US"/>
        </w:rPr>
      </w:pPr>
      <w:r w:rsidRPr="00B47E7A">
        <w:rPr>
          <w:rFonts w:eastAsia="Calibri"/>
          <w:lang w:eastAsia="en-US"/>
        </w:rPr>
        <w:lastRenderedPageBreak/>
        <w:t>100009, г. Караганда, ул. Газалиева, стр. 16</w:t>
      </w:r>
    </w:p>
    <w:p w14:paraId="10292974" w14:textId="77777777" w:rsidR="003B6A77" w:rsidRPr="00B47E7A" w:rsidRDefault="003B6A77" w:rsidP="003B6A77">
      <w:pPr>
        <w:spacing w:line="259" w:lineRule="auto"/>
        <w:jc w:val="both"/>
        <w:rPr>
          <w:rFonts w:eastAsia="Calibri"/>
          <w:lang w:eastAsia="en-US"/>
        </w:rPr>
      </w:pPr>
      <w:r w:rsidRPr="00B47E7A">
        <w:rPr>
          <w:rFonts w:eastAsia="Calibri"/>
          <w:lang w:eastAsia="en-US"/>
        </w:rPr>
        <w:t>Номер телефона (7212) 90-80-43, факс (7212) 90-65-49</w:t>
      </w:r>
    </w:p>
    <w:p w14:paraId="16280050" w14:textId="77777777" w:rsidR="003B6A77" w:rsidRPr="00945651" w:rsidRDefault="003B6A77" w:rsidP="003B6A77">
      <w:pPr>
        <w:spacing w:line="259" w:lineRule="auto"/>
        <w:jc w:val="both"/>
        <w:rPr>
          <w:rFonts w:eastAsia="Calibri"/>
          <w:lang w:eastAsia="en-US"/>
        </w:rPr>
      </w:pPr>
      <w:r w:rsidRPr="00B47E7A">
        <w:rPr>
          <w:rFonts w:eastAsia="Calibri"/>
          <w:lang w:eastAsia="en-US"/>
        </w:rPr>
        <w:t>Адрес электронной почты medinfo@kphk.kz.</w:t>
      </w:r>
      <w:bookmarkStart w:id="1" w:name="_GoBack"/>
      <w:bookmarkEnd w:id="1"/>
    </w:p>
    <w:p w14:paraId="0E072828" w14:textId="77777777" w:rsidR="00147D0D" w:rsidRDefault="00147D0D"/>
    <w:sectPr w:rsidR="00147D0D" w:rsidSect="008B53DE">
      <w:pgSz w:w="11906" w:h="16838"/>
      <w:pgMar w:top="709" w:right="141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5E"/>
    <w:rsid w:val="00147D0D"/>
    <w:rsid w:val="001E0D51"/>
    <w:rsid w:val="002352C3"/>
    <w:rsid w:val="002652A6"/>
    <w:rsid w:val="00310EB2"/>
    <w:rsid w:val="003B6A77"/>
    <w:rsid w:val="00426F2C"/>
    <w:rsid w:val="005150AE"/>
    <w:rsid w:val="006116F8"/>
    <w:rsid w:val="0062690F"/>
    <w:rsid w:val="0066402C"/>
    <w:rsid w:val="00832E21"/>
    <w:rsid w:val="008B53DE"/>
    <w:rsid w:val="009B5A5E"/>
    <w:rsid w:val="009C2C78"/>
    <w:rsid w:val="009C6954"/>
    <w:rsid w:val="00A33D2A"/>
    <w:rsid w:val="00B32AD0"/>
    <w:rsid w:val="00B47E7A"/>
    <w:rsid w:val="00BA1353"/>
    <w:rsid w:val="00BA4959"/>
    <w:rsid w:val="00DD1AC5"/>
    <w:rsid w:val="00E11309"/>
    <w:rsid w:val="00E45D82"/>
    <w:rsid w:val="00ED3A3F"/>
    <w:rsid w:val="00FE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E6A"/>
  <w15:chartTrackingRefBased/>
  <w15:docId w15:val="{3AEB3788-3E70-405D-818D-0297CDB9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Курсив"/>
    <w:basedOn w:val="a0"/>
    <w:rsid w:val="003B6A7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4">
    <w:name w:val="Hyperlink"/>
    <w:uiPriority w:val="99"/>
    <w:rsid w:val="003B6A77"/>
    <w:rPr>
      <w:color w:val="0000FF"/>
      <w:u w:val="single"/>
    </w:rPr>
  </w:style>
  <w:style w:type="paragraph" w:styleId="a5">
    <w:name w:val="No Spacing"/>
    <w:uiPriority w:val="1"/>
    <w:qFormat/>
    <w:rsid w:val="005150AE"/>
    <w:pPr>
      <w:spacing w:after="0" w:line="240" w:lineRule="auto"/>
    </w:pPr>
    <w:rPr>
      <w:rFonts w:ascii="Calibri" w:eastAsia="Calibri" w:hAnsi="Calibri" w:cs="Times New Roman"/>
    </w:rPr>
  </w:style>
  <w:style w:type="table" w:styleId="a6">
    <w:name w:val="Table Grid"/>
    <w:basedOn w:val="a1"/>
    <w:uiPriority w:val="59"/>
    <w:rsid w:val="005150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10EB2"/>
    <w:rPr>
      <w:sz w:val="16"/>
      <w:szCs w:val="16"/>
    </w:rPr>
  </w:style>
  <w:style w:type="paragraph" w:styleId="a8">
    <w:name w:val="annotation text"/>
    <w:basedOn w:val="a"/>
    <w:link w:val="a9"/>
    <w:uiPriority w:val="99"/>
    <w:semiHidden/>
    <w:unhideWhenUsed/>
    <w:rsid w:val="00310EB2"/>
    <w:rPr>
      <w:sz w:val="20"/>
      <w:szCs w:val="20"/>
    </w:rPr>
  </w:style>
  <w:style w:type="character" w:customStyle="1" w:styleId="a9">
    <w:name w:val="Текст примечания Знак"/>
    <w:basedOn w:val="a0"/>
    <w:link w:val="a8"/>
    <w:uiPriority w:val="99"/>
    <w:semiHidden/>
    <w:rsid w:val="00310EB2"/>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10EB2"/>
    <w:rPr>
      <w:b/>
      <w:bCs/>
    </w:rPr>
  </w:style>
  <w:style w:type="character" w:customStyle="1" w:styleId="ab">
    <w:name w:val="Тема примечания Знак"/>
    <w:basedOn w:val="a9"/>
    <w:link w:val="aa"/>
    <w:uiPriority w:val="99"/>
    <w:semiHidden/>
    <w:rsid w:val="00310EB2"/>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310EB2"/>
    <w:rPr>
      <w:rFonts w:ascii="Segoe UI" w:hAnsi="Segoe UI" w:cs="Segoe UI"/>
      <w:sz w:val="18"/>
      <w:szCs w:val="18"/>
    </w:rPr>
  </w:style>
  <w:style w:type="character" w:customStyle="1" w:styleId="ad">
    <w:name w:val="Текст выноски Знак"/>
    <w:basedOn w:val="a0"/>
    <w:link w:val="ac"/>
    <w:uiPriority w:val="99"/>
    <w:semiHidden/>
    <w:rsid w:val="00310E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dlc@dari.kz"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6</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Глашкин Алексей</cp:lastModifiedBy>
  <cp:revision>12</cp:revision>
  <dcterms:created xsi:type="dcterms:W3CDTF">2020-10-30T11:40:00Z</dcterms:created>
  <dcterms:modified xsi:type="dcterms:W3CDTF">2022-04-20T08:42:00Z</dcterms:modified>
</cp:coreProperties>
</file>