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DE5811" w14:paraId="33EB23C0" w14:textId="77777777" w:rsidTr="007E1D85">
        <w:tc>
          <w:tcPr>
            <w:tcW w:w="5211" w:type="dxa"/>
            <w:hideMark/>
          </w:tcPr>
          <w:p w14:paraId="09EC0418" w14:textId="77777777" w:rsidR="007E1D85" w:rsidRPr="00CD60CD" w:rsidRDefault="007E1D85" w:rsidP="000357C0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3E65C930" w14:textId="77777777" w:rsidR="00523D82" w:rsidRPr="00DE5811" w:rsidRDefault="00523D82" w:rsidP="000357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DE5811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61E40051" w14:textId="77777777" w:rsidR="00653617" w:rsidRPr="00DE5811" w:rsidRDefault="00523D82" w:rsidP="000357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 w:rsidRPr="00DE5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E5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14:paraId="02ED0104" w14:textId="77777777" w:rsidR="00A0786E" w:rsidRPr="00DE5811" w:rsidRDefault="007E702A" w:rsidP="00A078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523D82" w:rsidRPr="00DE5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="00A0786E" w:rsidRPr="00DE5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медицинского </w:t>
            </w:r>
          </w:p>
          <w:p w14:paraId="594CA4E8" w14:textId="77777777" w:rsidR="00523D82" w:rsidRPr="00DE5811" w:rsidRDefault="00A0786E" w:rsidP="00A0786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DE5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фармацевтического контроля</w:t>
            </w:r>
            <w:r w:rsidRPr="00DE58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23D82" w:rsidRPr="00DE58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</w:p>
          <w:p w14:paraId="6C5F49CC" w14:textId="77777777" w:rsidR="00523D82" w:rsidRPr="00DE5811" w:rsidRDefault="00523D82" w:rsidP="000357C0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E58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BE09F7" w:rsidRPr="00DE58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14:paraId="1E9F0F12" w14:textId="77777777" w:rsidR="00523D82" w:rsidRPr="00DE5811" w:rsidRDefault="00523D82" w:rsidP="000357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</w:t>
            </w:r>
            <w:r w:rsidR="00816DCF" w:rsidRPr="00DE5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_» _</w:t>
            </w:r>
            <w:r w:rsidRPr="00DE5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___________20__г.</w:t>
            </w:r>
          </w:p>
          <w:p w14:paraId="5711F809" w14:textId="77777777" w:rsidR="00523D82" w:rsidRPr="00DE5811" w:rsidRDefault="00523D82" w:rsidP="000357C0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DE581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</w:t>
            </w:r>
            <w:r w:rsidR="00D46B0B" w:rsidRPr="00DE581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4536" w:type="dxa"/>
          </w:tcPr>
          <w:p w14:paraId="67654A95" w14:textId="77777777" w:rsidR="00523D82" w:rsidRPr="00DE5811" w:rsidRDefault="00523D82" w:rsidP="000357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523D82" w:rsidRPr="00DE5811" w14:paraId="27873995" w14:textId="77777777" w:rsidTr="007E1D85">
        <w:tc>
          <w:tcPr>
            <w:tcW w:w="5211" w:type="dxa"/>
          </w:tcPr>
          <w:p w14:paraId="5EC74C9F" w14:textId="77777777" w:rsidR="00523D82" w:rsidRPr="00DE5811" w:rsidRDefault="00523D82" w:rsidP="000357C0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ED361BB" w14:textId="77777777" w:rsidR="00523D82" w:rsidRPr="00DE5811" w:rsidRDefault="00523D82" w:rsidP="000357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E5900FA" w14:textId="77777777" w:rsidR="00523D82" w:rsidRPr="00DE5811" w:rsidRDefault="00523D82" w:rsidP="000357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09B8DCE7" w14:textId="77777777" w:rsidR="003662F1" w:rsidRPr="00DE5811" w:rsidRDefault="003662F1" w:rsidP="00BC31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FF403E" w14:textId="77777777" w:rsidR="00D76048" w:rsidRPr="00DE5811" w:rsidRDefault="00D76048" w:rsidP="000357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811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42505873" w14:textId="77777777" w:rsidR="00D76048" w:rsidRPr="00DE5811" w:rsidRDefault="00D76048" w:rsidP="000357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8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DE5811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DE58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DE5811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DE5811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1F5E0A06" w14:textId="77777777" w:rsidR="00232642" w:rsidRPr="00DE5811" w:rsidRDefault="00232642" w:rsidP="00BC31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B33E46" w14:textId="77777777" w:rsidR="005A2366" w:rsidRPr="00DE5811" w:rsidRDefault="004831CC" w:rsidP="000357C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E5811">
        <w:rPr>
          <w:rFonts w:ascii="Times New Roman" w:hAnsi="Times New Roman"/>
          <w:i/>
          <w:sz w:val="28"/>
          <w:szCs w:val="28"/>
        </w:rPr>
        <w:t xml:space="preserve">▼ </w:t>
      </w:r>
      <w:r w:rsidR="00DF26B9" w:rsidRPr="00DE5811">
        <w:rPr>
          <w:rFonts w:ascii="Times New Roman" w:hAnsi="Times New Roman"/>
          <w:i/>
          <w:sz w:val="28"/>
          <w:szCs w:val="28"/>
        </w:rPr>
        <w:t>Л</w:t>
      </w:r>
      <w:r w:rsidRPr="00DE5811">
        <w:rPr>
          <w:rFonts w:ascii="Times New Roman" w:hAnsi="Times New Roman"/>
          <w:i/>
          <w:sz w:val="28"/>
          <w:szCs w:val="28"/>
        </w:rPr>
        <w:t>екарственный препарат подлежит дополнительному мониторингу</w:t>
      </w:r>
      <w:r w:rsidR="0040506D" w:rsidRPr="00DE5811">
        <w:rPr>
          <w:rFonts w:ascii="Times New Roman" w:hAnsi="Times New Roman"/>
          <w:i/>
          <w:sz w:val="28"/>
          <w:szCs w:val="28"/>
        </w:rPr>
        <w:t>, который способствует</w:t>
      </w:r>
      <w:r w:rsidRPr="00DE5811">
        <w:rPr>
          <w:rFonts w:ascii="Times New Roman" w:hAnsi="Times New Roman"/>
          <w:i/>
          <w:sz w:val="28"/>
          <w:szCs w:val="28"/>
        </w:rPr>
        <w:t xml:space="preserve"> быстро</w:t>
      </w:r>
      <w:r w:rsidR="00C4488B" w:rsidRPr="00DE5811">
        <w:rPr>
          <w:rFonts w:ascii="Times New Roman" w:hAnsi="Times New Roman"/>
          <w:i/>
          <w:sz w:val="28"/>
          <w:szCs w:val="28"/>
        </w:rPr>
        <w:t>му</w:t>
      </w:r>
      <w:r w:rsidRPr="00DE5811">
        <w:rPr>
          <w:rFonts w:ascii="Times New Roman" w:hAnsi="Times New Roman"/>
          <w:i/>
          <w:sz w:val="28"/>
          <w:szCs w:val="28"/>
        </w:rPr>
        <w:t xml:space="preserve"> </w:t>
      </w:r>
      <w:r w:rsidR="00C4488B" w:rsidRPr="00DE5811">
        <w:rPr>
          <w:rFonts w:ascii="Times New Roman" w:hAnsi="Times New Roman"/>
          <w:i/>
          <w:sz w:val="28"/>
          <w:szCs w:val="28"/>
        </w:rPr>
        <w:t xml:space="preserve">выявлению </w:t>
      </w:r>
      <w:r w:rsidRPr="00DE5811">
        <w:rPr>
          <w:rFonts w:ascii="Times New Roman" w:hAnsi="Times New Roman"/>
          <w:i/>
          <w:sz w:val="28"/>
          <w:szCs w:val="28"/>
        </w:rPr>
        <w:t>нов</w:t>
      </w:r>
      <w:r w:rsidR="00C4488B" w:rsidRPr="00DE5811">
        <w:rPr>
          <w:rFonts w:ascii="Times New Roman" w:hAnsi="Times New Roman"/>
          <w:i/>
          <w:sz w:val="28"/>
          <w:szCs w:val="28"/>
        </w:rPr>
        <w:t>ых сведений о</w:t>
      </w:r>
      <w:r w:rsidRPr="00DE5811">
        <w:rPr>
          <w:rFonts w:ascii="Times New Roman" w:hAnsi="Times New Roman"/>
          <w:i/>
          <w:sz w:val="28"/>
          <w:szCs w:val="28"/>
        </w:rPr>
        <w:t xml:space="preserve"> безопасности. </w:t>
      </w:r>
      <w:r w:rsidR="00290224" w:rsidRPr="00DE5811">
        <w:rPr>
          <w:rFonts w:ascii="Times New Roman" w:hAnsi="Times New Roman"/>
          <w:i/>
          <w:sz w:val="28"/>
          <w:szCs w:val="28"/>
        </w:rPr>
        <w:t>О</w:t>
      </w:r>
      <w:r w:rsidRPr="00DE5811">
        <w:rPr>
          <w:rFonts w:ascii="Times New Roman" w:hAnsi="Times New Roman"/>
          <w:i/>
          <w:sz w:val="28"/>
          <w:szCs w:val="28"/>
        </w:rPr>
        <w:t xml:space="preserve">бращаемся к работникам системы здравоохранения с просьбой сообщать о любых подозреваемых нежелательных </w:t>
      </w:r>
      <w:r w:rsidR="00290224" w:rsidRPr="00DE5811">
        <w:rPr>
          <w:rFonts w:ascii="Times New Roman" w:hAnsi="Times New Roman"/>
          <w:i/>
          <w:sz w:val="28"/>
          <w:szCs w:val="28"/>
        </w:rPr>
        <w:t xml:space="preserve">реакциях. </w:t>
      </w:r>
    </w:p>
    <w:p w14:paraId="7869092C" w14:textId="77777777" w:rsidR="00035B5A" w:rsidRPr="00DE5811" w:rsidRDefault="00035B5A" w:rsidP="000357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91E607" w14:textId="77777777" w:rsidR="002C76D7" w:rsidRPr="00DE5811" w:rsidRDefault="00D76048" w:rsidP="000357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8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DE5811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</w:p>
    <w:p w14:paraId="28327CED" w14:textId="77777777" w:rsidR="002A344E" w:rsidRPr="00DE5811" w:rsidRDefault="00650E43" w:rsidP="00035B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Адалира</w:t>
      </w:r>
      <w:proofErr w:type="spellEnd"/>
    </w:p>
    <w:p w14:paraId="33EF569B" w14:textId="77777777" w:rsidR="00B85D74" w:rsidRPr="00DE5811" w:rsidRDefault="00B85D74" w:rsidP="00035B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DA4F39" w14:textId="77777777" w:rsidR="002C76D7" w:rsidRPr="00DE5811" w:rsidRDefault="00AE7922" w:rsidP="000357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811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751E3284" w14:textId="77777777" w:rsidR="00382C1D" w:rsidRPr="00DE5811" w:rsidRDefault="00EE42AE" w:rsidP="000357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5811">
        <w:rPr>
          <w:rFonts w:ascii="Times New Roman" w:hAnsi="Times New Roman"/>
          <w:sz w:val="28"/>
          <w:szCs w:val="28"/>
        </w:rPr>
        <w:t>Адалимумаб</w:t>
      </w:r>
      <w:proofErr w:type="spellEnd"/>
    </w:p>
    <w:p w14:paraId="2284F90D" w14:textId="77777777" w:rsidR="00D76048" w:rsidRPr="00DE5811" w:rsidRDefault="002C76D7" w:rsidP="000357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8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37242" w:rsidRPr="00DE5811">
        <w:rPr>
          <w:rFonts w:ascii="Times New Roman" w:eastAsia="Times New Roman" w:hAnsi="Times New Roman"/>
          <w:b/>
          <w:sz w:val="28"/>
          <w:szCs w:val="28"/>
          <w:lang w:eastAsia="ru-RU"/>
        </w:rPr>
        <w:t>дозировка</w:t>
      </w:r>
    </w:p>
    <w:p w14:paraId="62532E61" w14:textId="77777777" w:rsidR="00EE42AE" w:rsidRPr="00DE5811" w:rsidRDefault="009C433C" w:rsidP="000357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OCRUncertain022"/>
      <w:r w:rsidRPr="00DE581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D2118" w:rsidRPr="00DE5811">
        <w:rPr>
          <w:rFonts w:ascii="Times New Roman" w:eastAsia="Times New Roman" w:hAnsi="Times New Roman"/>
          <w:sz w:val="28"/>
          <w:szCs w:val="28"/>
          <w:lang w:eastAsia="ru-RU"/>
        </w:rPr>
        <w:t>аствор для подкожного введения, 40 мг/0.8 мл</w:t>
      </w:r>
    </w:p>
    <w:p w14:paraId="2C272418" w14:textId="77777777" w:rsidR="00B85D74" w:rsidRPr="00DE5811" w:rsidRDefault="00B85D74" w:rsidP="000357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</w:p>
    <w:p w14:paraId="74A072EC" w14:textId="77777777" w:rsidR="002C1660" w:rsidRPr="00DE5811" w:rsidRDefault="00AE7922" w:rsidP="000357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r w:rsidRPr="00DE5811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DE5811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</w:p>
    <w:p w14:paraId="4A65CF81" w14:textId="77777777" w:rsidR="006C5287" w:rsidRPr="006C5287" w:rsidRDefault="006C5287" w:rsidP="006C5287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proofErr w:type="spellStart"/>
      <w:r w:rsidRPr="00D51A5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Антинеопластические</w:t>
      </w:r>
      <w:proofErr w:type="spellEnd"/>
      <w:r w:rsidRPr="00D51A5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и иммуномодулирующие препараты. </w:t>
      </w:r>
      <w:proofErr w:type="spellStart"/>
      <w:r w:rsidRPr="00D51A5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Иммуносупрессанты</w:t>
      </w:r>
      <w:proofErr w:type="spellEnd"/>
      <w:r w:rsidRPr="00D51A5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. Ингибиторы фактора некроза опухоли-альфа. </w:t>
      </w:r>
      <w:proofErr w:type="spellStart"/>
      <w:r w:rsidRPr="00D51A5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Адалимумаб</w:t>
      </w:r>
      <w:proofErr w:type="spellEnd"/>
      <w:r w:rsidR="00D51A5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</w:p>
    <w:p w14:paraId="3ED666CC" w14:textId="77777777" w:rsidR="00B85D74" w:rsidRPr="00DE5811" w:rsidRDefault="00D01CE1" w:rsidP="000357C0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5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Код АТХ </w:t>
      </w:r>
      <w:r w:rsidR="005B4AB3" w:rsidRPr="00DE5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L04AB04</w:t>
      </w:r>
    </w:p>
    <w:p w14:paraId="42327F45" w14:textId="77777777" w:rsidR="009F4E6A" w:rsidRPr="00DE5811" w:rsidRDefault="009F4E6A" w:rsidP="000357C0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64947C5" w14:textId="77777777" w:rsidR="006A0914" w:rsidRPr="00DE5811" w:rsidRDefault="005444B2" w:rsidP="000357C0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645311E7" w14:textId="77777777" w:rsidR="00AD5BA7" w:rsidRPr="00DE5811" w:rsidRDefault="00AD5BA7" w:rsidP="00AD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DE581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Ревматоидный артрит</w:t>
      </w:r>
    </w:p>
    <w:p w14:paraId="61E2B3BE" w14:textId="77777777" w:rsidR="00AD5BA7" w:rsidRPr="00DE5811" w:rsidRDefault="00650E43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AD5BA7"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сочетании с метотрексатом показан </w:t>
      </w:r>
      <w:r w:rsidR="008511C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для</w:t>
      </w:r>
      <w:r w:rsidR="006F1181"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14:paraId="51165E48" w14:textId="77777777" w:rsidR="00AD5BA7" w:rsidRPr="00DE5811" w:rsidRDefault="00AD5BA7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0907C6"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л</w:t>
      </w:r>
      <w:r w:rsidR="006302CC"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ечени</w:t>
      </w:r>
      <w:r w:rsidR="008511C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r w:rsidR="000907C6"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средней и высокой степени активности ревматоидного артрита у взрослых пациентов в отсутствие надлежащего ответа на противоревматические препараты, модифицирующие течение болезни, включая метотрексат</w:t>
      </w:r>
      <w:r w:rsidR="006302CC"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622BDD53" w14:textId="77777777" w:rsidR="00AD5BA7" w:rsidRPr="00DE5811" w:rsidRDefault="00AD5BA7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0907C6"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6302CC"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лечени</w:t>
      </w:r>
      <w:r w:rsidR="008511C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r w:rsidR="006302CC"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тяжелой формы активного и прогрессивного ревматоидного артрита у взрослых, не получавших предварительного лечения метотрексатом.</w:t>
      </w:r>
    </w:p>
    <w:p w14:paraId="47D6ABF1" w14:textId="77777777" w:rsidR="00AD5BA7" w:rsidRPr="00DE5811" w:rsidRDefault="00650E43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AD5BA7"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можно назначать в качестве </w:t>
      </w:r>
      <w:proofErr w:type="spellStart"/>
      <w:r w:rsidR="00AD5BA7"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монотерапии</w:t>
      </w:r>
      <w:proofErr w:type="spellEnd"/>
      <w:r w:rsidR="00AD5BA7"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случае непереносимости метотрексата </w:t>
      </w:r>
      <w:r w:rsidR="001702F3"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или</w:t>
      </w:r>
      <w:r w:rsidR="00AD5BA7"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когда продолжение лечения </w:t>
      </w:r>
      <w:r w:rsidR="00AD5BA7" w:rsidRPr="00DE581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метотрексатом нецелесообразно.</w:t>
      </w:r>
      <w:r w:rsidR="00A739C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A739C2" w:rsidRPr="00B8487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Показано, что </w:t>
      </w:r>
      <w:proofErr w:type="spellStart"/>
      <w:r w:rsidR="00A739C2" w:rsidRPr="00B8487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адалимумаб</w:t>
      </w:r>
      <w:proofErr w:type="spellEnd"/>
      <w:r w:rsidR="00A739C2" w:rsidRPr="00B8487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снижает скорость прогрессирования повреждения суставов, что было подтверждено рентгенографией, и улучшение функционального статуса при применении в комбинации с метотрексатом.</w:t>
      </w:r>
    </w:p>
    <w:p w14:paraId="118F20E2" w14:textId="77777777" w:rsidR="00AD5BA7" w:rsidRPr="00EF507A" w:rsidRDefault="00AD5BA7" w:rsidP="00AD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DE581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Ювенильный </w:t>
      </w:r>
      <w:r w:rsidR="00ED54C2" w:rsidRPr="00DE581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ревматоидный</w:t>
      </w:r>
      <w:r w:rsidRPr="00DE581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артрит</w:t>
      </w:r>
    </w:p>
    <w:p w14:paraId="3AED39E5" w14:textId="77777777" w:rsidR="00AD5BA7" w:rsidRPr="00443968" w:rsidRDefault="00AD5BA7" w:rsidP="00AD5BA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</w:pPr>
      <w:proofErr w:type="spellStart"/>
      <w:r w:rsidRPr="00443968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Полиартикулярный</w:t>
      </w:r>
      <w:proofErr w:type="spellEnd"/>
      <w:r w:rsidRPr="00443968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F21389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ювенильный</w:t>
      </w:r>
      <w:r w:rsidRPr="00443968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 xml:space="preserve"> идиопатический артрит</w:t>
      </w:r>
    </w:p>
    <w:p w14:paraId="39D2DE15" w14:textId="77777777" w:rsidR="00AD5BA7" w:rsidRPr="001772F7" w:rsidRDefault="00650E43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AD5BA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комбинации с метотрексатом показан для лечения активного </w:t>
      </w:r>
      <w:proofErr w:type="spellStart"/>
      <w:r w:rsidR="00AD5BA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полиартикулярного</w:t>
      </w:r>
      <w:proofErr w:type="spellEnd"/>
      <w:r w:rsidR="00AD5BA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ювенильного идиопатического артрита у пациентов в возрасте от 2 лет, у которых был неадекватный ответ на один или несколько </w:t>
      </w:r>
      <w:r w:rsidR="00F21389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препаратов, модифицирующих течение болезни</w:t>
      </w:r>
      <w:r w:rsidR="00AD5BA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="00AA6E74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AD5BA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можно назначать в качестве </w:t>
      </w:r>
      <w:proofErr w:type="spellStart"/>
      <w:r w:rsidR="00AD5BA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монотерапии</w:t>
      </w:r>
      <w:proofErr w:type="spellEnd"/>
      <w:r w:rsidR="00AD5BA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случае непереносимости метотрексата </w:t>
      </w:r>
      <w:r w:rsidR="00775C0B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или</w:t>
      </w:r>
      <w:r w:rsidR="00AD5BA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когда продолжение лечения метотрексатом нецелесообразно.</w:t>
      </w:r>
      <w:r w:rsidR="00AB599A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40B1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Применение </w:t>
      </w:r>
      <w:proofErr w:type="spellStart"/>
      <w:r w:rsidR="00840B1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адалимумаба</w:t>
      </w:r>
      <w:proofErr w:type="spellEnd"/>
      <w:r w:rsidR="00840B1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 детей младше 2 лет не изучено</w:t>
      </w:r>
      <w:r w:rsidR="00AD5BA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699EA7F0" w14:textId="77777777" w:rsidR="00AD5BA7" w:rsidRPr="001772F7" w:rsidRDefault="00BF4D21" w:rsidP="00AD5BA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</w:pPr>
      <w:proofErr w:type="spellStart"/>
      <w:r w:rsidRPr="001772F7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Энтезит</w:t>
      </w:r>
      <w:proofErr w:type="spellEnd"/>
      <w:r w:rsidRPr="001772F7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-ассоциированный артрит</w:t>
      </w:r>
    </w:p>
    <w:p w14:paraId="069D9A00" w14:textId="77777777" w:rsidR="00AD5BA7" w:rsidRPr="001772F7" w:rsidRDefault="00650E43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AD5BA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показан для лечения активного </w:t>
      </w:r>
      <w:proofErr w:type="spellStart"/>
      <w:r w:rsidR="00ED05C1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энтезит</w:t>
      </w:r>
      <w:proofErr w:type="spellEnd"/>
      <w:r w:rsidR="00ED05C1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-ассоциированного артрита</w:t>
      </w:r>
      <w:r w:rsidR="00AD5BA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 пациентов в возрасте</w:t>
      </w:r>
      <w:r w:rsidR="00C902E9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</w:t>
      </w:r>
      <w:r w:rsidR="00AD5BA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6 лет и старше,</w:t>
      </w:r>
      <w:r w:rsidR="00C902E9" w:rsidRPr="001772F7">
        <w:t xml:space="preserve"> </w:t>
      </w:r>
      <w:r w:rsidR="00C902E9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которые не дали надлежащий ответ на традиционную терапию или продемонстрировали ее непереносимость.</w:t>
      </w:r>
    </w:p>
    <w:p w14:paraId="6729B67B" w14:textId="77777777" w:rsidR="00536096" w:rsidRPr="001772F7" w:rsidRDefault="00536096" w:rsidP="00AD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1772F7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Аксиальный спондилоартрит</w:t>
      </w:r>
    </w:p>
    <w:p w14:paraId="464A8DA3" w14:textId="77777777" w:rsidR="00AD5BA7" w:rsidRPr="001772F7" w:rsidRDefault="009A4E35" w:rsidP="00AD5BA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</w:pPr>
      <w:proofErr w:type="spellStart"/>
      <w:r w:rsidRPr="001772F7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Анкилозирующий</w:t>
      </w:r>
      <w:proofErr w:type="spellEnd"/>
      <w:r w:rsidRPr="001772F7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 xml:space="preserve"> спондилит </w:t>
      </w:r>
      <w:r w:rsidR="005E0410" w:rsidRPr="001772F7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(АС)</w:t>
      </w:r>
    </w:p>
    <w:p w14:paraId="352870D8" w14:textId="77777777" w:rsidR="00AD5BA7" w:rsidRPr="002470BE" w:rsidRDefault="00650E43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AD5BA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показан для лечения взрослых с тяжелым активным </w:t>
      </w:r>
      <w:proofErr w:type="spellStart"/>
      <w:r w:rsidR="00AD5BA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анкилозирующим</w:t>
      </w:r>
      <w:proofErr w:type="spellEnd"/>
      <w:r w:rsidR="00AD5BA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спондилитом, </w:t>
      </w:r>
      <w:r w:rsidR="00AD3D0B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которые не дали надлежащий ответ на традиционную терапию</w:t>
      </w:r>
      <w:r w:rsidR="00AD5BA7" w:rsidRPr="001772F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6B7DE502" w14:textId="77777777" w:rsidR="005E0410" w:rsidRDefault="00CE3BA4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А</w:t>
      </w:r>
      <w:r w:rsidRPr="00CE3BA4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ксиальный спондилоартрит без рентгенографического подтверждения</w:t>
      </w:r>
      <w:r w:rsidRPr="00CE3BA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5E0410" w:rsidRPr="005E0410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АС</w:t>
      </w:r>
    </w:p>
    <w:p w14:paraId="57C7760F" w14:textId="77777777" w:rsidR="0084183B" w:rsidRPr="006C4F34" w:rsidRDefault="00650E43" w:rsidP="008418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84183B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показан для лечения взрослых с тяжелым аксиальным спондилоартритом без рентгенографического подтверждения АС, но при наличии объективных признаков воспаления по повышенному уровню СРБ и (или) данным МРТ, при отсутствии адекватного ответа на лечение нестероидными противовоспалительными препаратами или их непереносимости. </w:t>
      </w:r>
    </w:p>
    <w:p w14:paraId="1A0912DD" w14:textId="77777777" w:rsidR="00AD5BA7" w:rsidRPr="006C4F34" w:rsidRDefault="00AD5BA7" w:rsidP="00AD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proofErr w:type="spellStart"/>
      <w:r w:rsidRPr="006C4F34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Псориатический</w:t>
      </w:r>
      <w:proofErr w:type="spellEnd"/>
      <w:r w:rsidRPr="006C4F34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артрит</w:t>
      </w:r>
      <w:r w:rsidR="002470BE" w:rsidRPr="006C4F34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</w:t>
      </w:r>
    </w:p>
    <w:p w14:paraId="692573F6" w14:textId="77777777" w:rsidR="009642AE" w:rsidRPr="006C4F34" w:rsidRDefault="00650E43" w:rsidP="009642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9642AE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показан для лечения активного и прогрессирующего </w:t>
      </w:r>
      <w:proofErr w:type="spellStart"/>
      <w:r w:rsidR="009642AE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псориатического</w:t>
      </w:r>
      <w:proofErr w:type="spellEnd"/>
      <w:r w:rsidR="009642AE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артрита у взрослых, когда реакция на противоревматические препараты, модифицирующие </w:t>
      </w:r>
      <w:proofErr w:type="gramStart"/>
      <w:r w:rsidR="009642AE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течение болезни</w:t>
      </w:r>
      <w:proofErr w:type="gramEnd"/>
      <w:r w:rsidR="009642AE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была недостаточной. Показано, что </w:t>
      </w:r>
      <w:proofErr w:type="spellStart"/>
      <w:r w:rsidR="009642AE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адалимумаб</w:t>
      </w:r>
      <w:proofErr w:type="spellEnd"/>
      <w:r w:rsidR="009642AE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снижает скорость прогрессирования повреждений периферических суставов, измеряемую </w:t>
      </w:r>
      <w:proofErr w:type="spellStart"/>
      <w:r w:rsidR="009642AE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рентгенографически</w:t>
      </w:r>
      <w:proofErr w:type="spellEnd"/>
      <w:r w:rsidR="009642AE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у пациентов с симметричной </w:t>
      </w:r>
      <w:proofErr w:type="spellStart"/>
      <w:r w:rsidR="009642AE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полиартикулярной</w:t>
      </w:r>
      <w:proofErr w:type="spellEnd"/>
      <w:r w:rsidR="009642AE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формой заболевания</w:t>
      </w:r>
      <w:r w:rsidR="00C9669A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="009642AE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улучшает функциональное состояние.</w:t>
      </w:r>
    </w:p>
    <w:p w14:paraId="5CDE8FBD" w14:textId="77777777" w:rsidR="00AD5BA7" w:rsidRPr="006C4F34" w:rsidRDefault="00DF6A4A" w:rsidP="00AD5B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proofErr w:type="spellStart"/>
      <w:r w:rsidRPr="006C4F34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Бляшечный</w:t>
      </w:r>
      <w:proofErr w:type="spellEnd"/>
      <w:r w:rsidRPr="006C4F34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п</w:t>
      </w:r>
      <w:r w:rsidR="00AD5BA7" w:rsidRPr="006C4F34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сориаз</w:t>
      </w:r>
      <w:r w:rsidRPr="006C4F34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у взрослых</w:t>
      </w:r>
    </w:p>
    <w:p w14:paraId="613D2AA9" w14:textId="77777777" w:rsidR="00521674" w:rsidRPr="006C4F34" w:rsidRDefault="00650E43" w:rsidP="005216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521674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показан </w:t>
      </w:r>
      <w:r w:rsidR="00D51A51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для лечения,</w:t>
      </w:r>
      <w:r w:rsidR="00521674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умеренного и тяжелого хронического </w:t>
      </w:r>
      <w:proofErr w:type="spellStart"/>
      <w:r w:rsidR="00521674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бляшечного</w:t>
      </w:r>
      <w:proofErr w:type="spellEnd"/>
      <w:r w:rsidR="00521674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псориаза, псориаза ногтей у взрослых пациентов, которым показана системная терапия.</w:t>
      </w:r>
    </w:p>
    <w:p w14:paraId="029A8FE8" w14:textId="77777777" w:rsidR="00AD5BA7" w:rsidRPr="006C4F34" w:rsidRDefault="00473382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</w:pPr>
      <w:proofErr w:type="spellStart"/>
      <w:r w:rsidRPr="006C4F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Б</w:t>
      </w:r>
      <w:r w:rsidR="00AD5BA7" w:rsidRPr="006C4F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ляшечный</w:t>
      </w:r>
      <w:proofErr w:type="spellEnd"/>
      <w:r w:rsidR="00AD5BA7" w:rsidRPr="006C4F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 xml:space="preserve"> псориаз</w:t>
      </w:r>
      <w:r w:rsidRPr="006C4F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 xml:space="preserve"> у детей</w:t>
      </w:r>
    </w:p>
    <w:p w14:paraId="7E8F6A14" w14:textId="77777777" w:rsidR="000950D4" w:rsidRPr="002470BE" w:rsidRDefault="00650E43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AD5BA7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показан для лечения тяжелого хронического </w:t>
      </w:r>
      <w:proofErr w:type="spellStart"/>
      <w:r w:rsidR="00AD5BA7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бляшечного</w:t>
      </w:r>
      <w:proofErr w:type="spellEnd"/>
      <w:r w:rsidR="00AD5BA7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псориаза у детей и подростков в возрасте от 4 лет</w:t>
      </w:r>
      <w:r w:rsidR="00473382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при неадекватн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ом ответе </w:t>
      </w:r>
      <w:r w:rsidR="00473382" w:rsidRPr="006C4F3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местную терапию или фототерапию, а также у пациентов, которым местная терапия и фототерапия противопоказаны.</w:t>
      </w:r>
    </w:p>
    <w:p w14:paraId="5EE58750" w14:textId="77777777" w:rsidR="00AD5BA7" w:rsidRPr="001702F3" w:rsidRDefault="00AD5BA7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</w:pPr>
      <w:r w:rsidRPr="001702F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 xml:space="preserve">Гнойный гидраденит </w:t>
      </w:r>
    </w:p>
    <w:p w14:paraId="2684F72F" w14:textId="77777777" w:rsidR="00305C2D" w:rsidRPr="00305C2D" w:rsidRDefault="00650E43" w:rsidP="00305C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305C2D" w:rsidRPr="00305C2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показан для лечения активного гнойного гидраденита (</w:t>
      </w:r>
      <w:proofErr w:type="spellStart"/>
      <w:r w:rsidR="00305C2D" w:rsidRPr="00305C2D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acne</w:t>
      </w:r>
      <w:proofErr w:type="spellEnd"/>
      <w:r w:rsidR="00305C2D" w:rsidRPr="00305C2D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305C2D" w:rsidRPr="00305C2D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inversa</w:t>
      </w:r>
      <w:proofErr w:type="spellEnd"/>
      <w:r w:rsidR="00305C2D" w:rsidRPr="00305C2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 средней или тяжелой степени тяжести у взрослых и подростков в возрасте от 12 лет</w:t>
      </w:r>
      <w:r w:rsidR="001348C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305C2D" w:rsidRPr="00305C2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неудовлетворительным ответом на традиционную системную терапию гнойного гидраденита.</w:t>
      </w:r>
    </w:p>
    <w:p w14:paraId="560B87DC" w14:textId="77777777" w:rsidR="00AD5BA7" w:rsidRPr="001702F3" w:rsidRDefault="00AD5BA7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</w:pPr>
      <w:r w:rsidRPr="001702F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 xml:space="preserve">Болезнь Крона </w:t>
      </w:r>
      <w:r w:rsidR="00F200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у взрослых</w:t>
      </w:r>
    </w:p>
    <w:p w14:paraId="1367EF32" w14:textId="77777777" w:rsidR="00AE7CEF" w:rsidRPr="00AE7CEF" w:rsidRDefault="00650E43" w:rsidP="00AE7C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AE7CEF" w:rsidRPr="00AE7C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показан для лечения болезни Крона средней и высокой степени активности у взрослых пациентов при неадекватном ответе на лечение кортикостероидами и/ или иммунодепрессивными препаратами, или при непереносимости традиционной терапии или ее противопоказании.</w:t>
      </w:r>
    </w:p>
    <w:p w14:paraId="155016B3" w14:textId="77777777" w:rsidR="002526A4" w:rsidRPr="001702F3" w:rsidRDefault="00F2005D" w:rsidP="002526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Болезнь Крона у детей</w:t>
      </w:r>
    </w:p>
    <w:p w14:paraId="3C839A15" w14:textId="77777777" w:rsidR="00FB583C" w:rsidRPr="00FB583C" w:rsidRDefault="00650E43" w:rsidP="00FB58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FB583C" w:rsidRPr="00FB58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показан для лечения болезни Крона средней и высокой степени активности у детей от 6 лет и старше при неадекватном ответе на традиционную терапию, включая полное </w:t>
      </w:r>
      <w:proofErr w:type="spellStart"/>
      <w:r w:rsidR="00FB583C" w:rsidRPr="00FB58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энтеральное</w:t>
      </w:r>
      <w:proofErr w:type="spellEnd"/>
      <w:r w:rsidR="00FB583C" w:rsidRPr="00FB58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питание и кортикостероиды и/или иммуномодуляторы, а также при непереносимости традиционной терапии или ее противопоказании.</w:t>
      </w:r>
    </w:p>
    <w:p w14:paraId="1FBAF54B" w14:textId="77777777" w:rsidR="00AD5BA7" w:rsidRPr="001702F3" w:rsidRDefault="00AD5BA7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</w:pPr>
      <w:r w:rsidRPr="001702F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Язвенный колит</w:t>
      </w:r>
      <w:r w:rsidR="003E27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 xml:space="preserve"> у взрослых</w:t>
      </w:r>
    </w:p>
    <w:p w14:paraId="6260F3AB" w14:textId="77777777" w:rsidR="003E2748" w:rsidRPr="00613D39" w:rsidRDefault="00650E43" w:rsidP="003E27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044DE6" w:rsidRPr="00520D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3E2748" w:rsidRPr="00520D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показан для лечения язвенного колита средней и высокой степени активности у взрослых пациентов, у которых традиционная терапия, включая терапию кортикостероидами и/или 6-меркаптопурином </w:t>
      </w:r>
      <w:r w:rsidR="003E2748"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или </w:t>
      </w:r>
      <w:proofErr w:type="spellStart"/>
      <w:r w:rsidR="003E2748"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азатиоприном</w:t>
      </w:r>
      <w:proofErr w:type="spellEnd"/>
      <w:r w:rsidR="003E2748"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не дала клинического ответа, или дала явления непереносимости, или была противопоказана.</w:t>
      </w:r>
    </w:p>
    <w:p w14:paraId="3C70D484" w14:textId="77777777" w:rsidR="00AD5BA7" w:rsidRPr="00613D39" w:rsidRDefault="000F65BF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</w:pPr>
      <w:r w:rsidRPr="00613D3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Я</w:t>
      </w:r>
      <w:r w:rsidR="00AD5BA7" w:rsidRPr="00613D3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звенный колит</w:t>
      </w:r>
      <w:r w:rsidRPr="00613D3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 xml:space="preserve"> у детей </w:t>
      </w:r>
    </w:p>
    <w:p w14:paraId="4F95AD49" w14:textId="77777777" w:rsidR="002F439E" w:rsidRPr="00613D39" w:rsidRDefault="00650E43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2F439E"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показан для лечения язвенного колита средней и высокой степени активности у детей от 6 лет, у которых традиционная терапия, включая терапию кортикостероидами и/или 6-меркаптопурином или </w:t>
      </w:r>
      <w:proofErr w:type="spellStart"/>
      <w:r w:rsidR="002F439E"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азатиоприном</w:t>
      </w:r>
      <w:proofErr w:type="spellEnd"/>
      <w:r w:rsidR="002F439E"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не дала клинического ответа, или дала явления непереносимости, или была противопоказана.</w:t>
      </w:r>
    </w:p>
    <w:p w14:paraId="3C25A17C" w14:textId="77777777" w:rsidR="00AD5BA7" w:rsidRPr="00613D39" w:rsidRDefault="00AD5BA7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</w:pPr>
      <w:r w:rsidRPr="00613D3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Увеит</w:t>
      </w:r>
      <w:r w:rsidR="0060571A" w:rsidRPr="00613D3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 xml:space="preserve"> у взрослых</w:t>
      </w:r>
    </w:p>
    <w:p w14:paraId="0AB0F555" w14:textId="77777777" w:rsidR="00BF0A29" w:rsidRPr="00613D39" w:rsidRDefault="00650E43" w:rsidP="00BF0A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BF0A29"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показан для лечения неинфекционного увеита (</w:t>
      </w:r>
      <w:r w:rsidR="007E1EB5"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промежуточный</w:t>
      </w:r>
      <w:r w:rsidR="00BF0A29"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задний и </w:t>
      </w:r>
      <w:proofErr w:type="spellStart"/>
      <w:r w:rsidR="00BF0A29"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панувеит</w:t>
      </w:r>
      <w:proofErr w:type="spellEnd"/>
      <w:r w:rsidR="00BF0A29"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 у взрослых при неадекватном ответе на терапию кортикостероидами, в ситуациях, когда необходимо ограничение дозы или отмена кортикостероидов, а также когда терапия кортикостероидами противопоказана.</w:t>
      </w:r>
    </w:p>
    <w:p w14:paraId="41C064D8" w14:textId="77777777" w:rsidR="00AD5BA7" w:rsidRPr="00613D39" w:rsidRDefault="0060571A" w:rsidP="00AD5B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</w:pPr>
      <w:r w:rsidRPr="00613D3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У</w:t>
      </w:r>
      <w:r w:rsidR="00AD5BA7" w:rsidRPr="00613D3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веит</w:t>
      </w:r>
      <w:r w:rsidRPr="00613D3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 xml:space="preserve"> у детей</w:t>
      </w:r>
    </w:p>
    <w:p w14:paraId="0CE97755" w14:textId="77777777" w:rsidR="001C2859" w:rsidRPr="00613D39" w:rsidRDefault="00650E43" w:rsidP="001C28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1C2859"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показан для лечения хронического неинфекционного переднего увеита у детей от 2 лет, у которых был неадекватный ответ или непереносимость традиционной терапии, или для которых традиционная терапия не подходит.</w:t>
      </w:r>
    </w:p>
    <w:p w14:paraId="7393A894" w14:textId="77777777" w:rsidR="00113CE0" w:rsidRPr="00113CE0" w:rsidRDefault="00113CE0" w:rsidP="00113C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</w:pPr>
      <w:r w:rsidRPr="00113CE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 xml:space="preserve">Болезнь </w:t>
      </w:r>
      <w:proofErr w:type="spellStart"/>
      <w:r w:rsidRPr="00113CE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Бехчета</w:t>
      </w:r>
      <w:proofErr w:type="spellEnd"/>
    </w:p>
    <w:p w14:paraId="02B73885" w14:textId="77777777" w:rsidR="00113CE0" w:rsidRPr="00113CE0" w:rsidRDefault="00650E43" w:rsidP="00113C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113CE0" w:rsidRPr="00113C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показан для лечения болезни </w:t>
      </w:r>
      <w:proofErr w:type="spellStart"/>
      <w:r w:rsidR="00113CE0" w:rsidRPr="00113C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Бехчета</w:t>
      </w:r>
      <w:proofErr w:type="spellEnd"/>
      <w:r w:rsidR="00113CE0" w:rsidRPr="00113C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="00113CE0" w:rsidRPr="00113C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интестинальная</w:t>
      </w:r>
      <w:proofErr w:type="spellEnd"/>
      <w:r w:rsidR="00113CE0" w:rsidRPr="00113C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форма) у пациентов при отсутствии адекватного ответа на стандартную терапию.</w:t>
      </w:r>
    </w:p>
    <w:p w14:paraId="49FFF871" w14:textId="77777777" w:rsidR="00DB3518" w:rsidRPr="00613D39" w:rsidRDefault="00DB3518" w:rsidP="007A29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EAF4BF" w14:textId="77777777" w:rsidR="00DB406A" w:rsidRPr="00613D39" w:rsidRDefault="00DB40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613D39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7FBC313A" w14:textId="77777777" w:rsidR="007D0E84" w:rsidRPr="00613D39" w:rsidRDefault="007D0E8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71B9895C" w14:textId="77777777" w:rsidR="00141A3A" w:rsidRPr="00520D62" w:rsidRDefault="003A2122">
      <w:pPr>
        <w:pStyle w:val="ac"/>
        <w:contextualSpacing/>
        <w:jc w:val="both"/>
        <w:rPr>
          <w:rFonts w:ascii="Times New Roman" w:hAnsi="Times New Roman"/>
          <w:sz w:val="28"/>
          <w:szCs w:val="28"/>
        </w:rPr>
      </w:pPr>
      <w:r w:rsidRPr="00613D39">
        <w:rPr>
          <w:rFonts w:ascii="Times New Roman" w:hAnsi="Times New Roman"/>
          <w:sz w:val="28"/>
          <w:szCs w:val="28"/>
        </w:rPr>
        <w:t>-</w:t>
      </w:r>
      <w:r w:rsidR="00715E7B" w:rsidRPr="00613D39">
        <w:rPr>
          <w:rFonts w:ascii="Times New Roman" w:hAnsi="Times New Roman"/>
          <w:sz w:val="28"/>
          <w:szCs w:val="28"/>
        </w:rPr>
        <w:t xml:space="preserve"> </w:t>
      </w:r>
      <w:r w:rsidR="00AB249A" w:rsidRPr="00613D39">
        <w:rPr>
          <w:rFonts w:ascii="Times New Roman" w:hAnsi="Times New Roman"/>
          <w:sz w:val="28"/>
          <w:szCs w:val="28"/>
        </w:rPr>
        <w:t xml:space="preserve">Повышенная чувствительность </w:t>
      </w:r>
      <w:r w:rsidR="00141A3A" w:rsidRPr="00613D39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141A3A" w:rsidRPr="00613D39">
        <w:rPr>
          <w:rFonts w:ascii="Times New Roman" w:hAnsi="Times New Roman"/>
          <w:sz w:val="28"/>
          <w:szCs w:val="28"/>
        </w:rPr>
        <w:t>адалимумабу</w:t>
      </w:r>
      <w:proofErr w:type="spellEnd"/>
      <w:r w:rsidR="00141A3A" w:rsidRPr="00613D39">
        <w:rPr>
          <w:rFonts w:ascii="Times New Roman" w:hAnsi="Times New Roman"/>
          <w:sz w:val="28"/>
          <w:szCs w:val="28"/>
        </w:rPr>
        <w:t xml:space="preserve"> или люб</w:t>
      </w:r>
      <w:r w:rsidR="00715E7B" w:rsidRPr="00613D39">
        <w:rPr>
          <w:rFonts w:ascii="Times New Roman" w:hAnsi="Times New Roman"/>
          <w:sz w:val="28"/>
          <w:szCs w:val="28"/>
        </w:rPr>
        <w:t>ому вспомогательному веществу, входящему в состав препарата</w:t>
      </w:r>
      <w:r w:rsidR="00141A3A" w:rsidRPr="00613D39">
        <w:rPr>
          <w:rFonts w:ascii="Times New Roman" w:hAnsi="Times New Roman"/>
          <w:sz w:val="28"/>
          <w:szCs w:val="28"/>
        </w:rPr>
        <w:t>.</w:t>
      </w:r>
    </w:p>
    <w:p w14:paraId="75D78209" w14:textId="77777777" w:rsidR="000B5EDB" w:rsidRPr="00520D62" w:rsidRDefault="000B5EDB" w:rsidP="002470B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20D62">
        <w:rPr>
          <w:rFonts w:ascii="Times New Roman" w:hAnsi="Times New Roman"/>
          <w:sz w:val="28"/>
          <w:szCs w:val="28"/>
        </w:rPr>
        <w:t>-</w:t>
      </w:r>
      <w:r w:rsidR="00DA2CF5" w:rsidRPr="00520D6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20D62">
        <w:rPr>
          <w:rFonts w:ascii="Times New Roman" w:hAnsi="Times New Roman"/>
          <w:sz w:val="28"/>
          <w:szCs w:val="28"/>
        </w:rPr>
        <w:t>Активный туберкулез или другие тяжелые инфекции, такие как сепсис и оппортунистические инфекции</w:t>
      </w:r>
      <w:r w:rsidR="006F1181" w:rsidRPr="00520D62">
        <w:rPr>
          <w:rFonts w:ascii="Times New Roman" w:hAnsi="Times New Roman"/>
          <w:sz w:val="28"/>
          <w:szCs w:val="28"/>
        </w:rPr>
        <w:t>.</w:t>
      </w:r>
    </w:p>
    <w:p w14:paraId="67A47799" w14:textId="77777777" w:rsidR="000E3EB2" w:rsidRPr="00520D62" w:rsidRDefault="00DA2CF5" w:rsidP="002470B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20D62">
        <w:rPr>
          <w:rFonts w:ascii="Times New Roman" w:hAnsi="Times New Roman"/>
          <w:sz w:val="28"/>
          <w:szCs w:val="28"/>
        </w:rPr>
        <w:t xml:space="preserve">- </w:t>
      </w:r>
      <w:r w:rsidR="000E3EB2" w:rsidRPr="00520D62">
        <w:rPr>
          <w:rFonts w:ascii="Times New Roman" w:hAnsi="Times New Roman"/>
          <w:sz w:val="28"/>
          <w:szCs w:val="28"/>
        </w:rPr>
        <w:t>Сердечная недостаточность от средней или тяжелой степени (III/IV функциональный класс по классификации NYHA).</w:t>
      </w:r>
    </w:p>
    <w:p w14:paraId="2B8D0AD1" w14:textId="77777777" w:rsidR="003D2315" w:rsidRPr="00520D62" w:rsidRDefault="003D2315">
      <w:pPr>
        <w:pStyle w:val="ac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20D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Необходимые меры предосторожности при применении </w:t>
      </w:r>
    </w:p>
    <w:p w14:paraId="5CE4AC6C" w14:textId="77777777" w:rsidR="00571510" w:rsidRPr="00520D62" w:rsidRDefault="00650E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571510" w:rsidRPr="00520D62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применять с осторожност</w:t>
      </w:r>
      <w:r w:rsidR="00ED3973">
        <w:rPr>
          <w:rFonts w:ascii="Times New Roman" w:eastAsia="Times New Roman" w:hAnsi="Times New Roman"/>
          <w:sz w:val="28"/>
          <w:szCs w:val="28"/>
          <w:lang w:eastAsia="ru-RU"/>
        </w:rPr>
        <w:t>ью</w:t>
      </w:r>
      <w:r w:rsidR="00571510" w:rsidRPr="00520D62">
        <w:rPr>
          <w:rFonts w:ascii="Times New Roman" w:eastAsia="Times New Roman" w:hAnsi="Times New Roman"/>
          <w:sz w:val="28"/>
          <w:szCs w:val="28"/>
          <w:lang w:eastAsia="ru-RU"/>
        </w:rPr>
        <w:t xml:space="preserve"> в с</w:t>
      </w:r>
      <w:r w:rsidR="006E1D4F" w:rsidRPr="00520D62">
        <w:rPr>
          <w:rFonts w:ascii="Times New Roman" w:eastAsia="Times New Roman" w:hAnsi="Times New Roman"/>
          <w:sz w:val="28"/>
          <w:szCs w:val="28"/>
          <w:lang w:eastAsia="ru-RU"/>
        </w:rPr>
        <w:t>ледующих случаях:</w:t>
      </w:r>
    </w:p>
    <w:p w14:paraId="4BB7836D" w14:textId="77777777" w:rsidR="00963233" w:rsidRPr="00520D62" w:rsidRDefault="005B3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D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2CF5" w:rsidRPr="00520D6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E1D4F" w:rsidRPr="00520D6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63233" w:rsidRPr="00520D62">
        <w:rPr>
          <w:rFonts w:ascii="Times New Roman" w:eastAsia="Times New Roman" w:hAnsi="Times New Roman"/>
          <w:sz w:val="28"/>
          <w:szCs w:val="28"/>
          <w:lang w:eastAsia="ru-RU"/>
        </w:rPr>
        <w:t>ец</w:t>
      </w:r>
      <w:r w:rsidR="006E1D4F" w:rsidRPr="00520D62">
        <w:rPr>
          <w:rFonts w:ascii="Times New Roman" w:eastAsia="Times New Roman" w:hAnsi="Times New Roman"/>
          <w:sz w:val="28"/>
          <w:szCs w:val="28"/>
          <w:lang w:eastAsia="ru-RU"/>
        </w:rPr>
        <w:t>идивирующие инфекции в анамнезе;</w:t>
      </w:r>
    </w:p>
    <w:p w14:paraId="5A39BE6B" w14:textId="77777777" w:rsidR="00963233" w:rsidRPr="00520D62" w:rsidRDefault="005B3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D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2CF5" w:rsidRPr="00520D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D4F" w:rsidRPr="00520D62">
        <w:rPr>
          <w:rFonts w:ascii="Times New Roman" w:eastAsia="Times New Roman" w:hAnsi="Times New Roman"/>
          <w:sz w:val="28"/>
          <w:szCs w:val="28"/>
          <w:lang w:eastAsia="ru-RU"/>
        </w:rPr>
        <w:t>носительство вируса гепатита В;</w:t>
      </w:r>
    </w:p>
    <w:p w14:paraId="744AF632" w14:textId="77777777" w:rsidR="00963233" w:rsidRPr="00520D62" w:rsidRDefault="005B3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D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2CF5" w:rsidRPr="00520D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D4F" w:rsidRPr="00520D6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963233" w:rsidRPr="00520D62">
        <w:rPr>
          <w:rFonts w:ascii="Times New Roman" w:eastAsia="Times New Roman" w:hAnsi="Times New Roman"/>
          <w:sz w:val="28"/>
          <w:szCs w:val="28"/>
          <w:lang w:eastAsia="ru-RU"/>
        </w:rPr>
        <w:t>локачественные новообра</w:t>
      </w:r>
      <w:r w:rsidR="006E1D4F" w:rsidRPr="00520D62">
        <w:rPr>
          <w:rFonts w:ascii="Times New Roman" w:eastAsia="Times New Roman" w:hAnsi="Times New Roman"/>
          <w:sz w:val="28"/>
          <w:szCs w:val="28"/>
          <w:lang w:eastAsia="ru-RU"/>
        </w:rPr>
        <w:t>зования, в том числе в анамнезе;</w:t>
      </w:r>
    </w:p>
    <w:p w14:paraId="7AD3C882" w14:textId="77777777" w:rsidR="00963233" w:rsidRPr="00520D62" w:rsidRDefault="005B3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D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2CF5" w:rsidRPr="00520D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D4F" w:rsidRPr="00520D6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63233" w:rsidRPr="00520D62">
        <w:rPr>
          <w:rFonts w:ascii="Times New Roman" w:eastAsia="Times New Roman" w:hAnsi="Times New Roman"/>
          <w:sz w:val="28"/>
          <w:szCs w:val="28"/>
          <w:lang w:eastAsia="ru-RU"/>
        </w:rPr>
        <w:t>ердечная недостаточность</w:t>
      </w:r>
      <w:r w:rsidR="00DA2CF5" w:rsidRPr="00520D62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легкой степени (I/II функциональный класс по классификации NYHA)</w:t>
      </w:r>
      <w:r w:rsidR="006E1D4F" w:rsidRPr="00520D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C0163E" w14:textId="77777777" w:rsidR="00963233" w:rsidRPr="00520D62" w:rsidRDefault="005B3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D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2CF5" w:rsidRPr="00520D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E1D4F" w:rsidRPr="00520D6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63233" w:rsidRPr="00520D62">
        <w:rPr>
          <w:rFonts w:ascii="Times New Roman" w:eastAsia="Times New Roman" w:hAnsi="Times New Roman"/>
          <w:sz w:val="28"/>
          <w:szCs w:val="28"/>
          <w:lang w:eastAsia="ru-RU"/>
        </w:rPr>
        <w:t>емиелинизирующие</w:t>
      </w:r>
      <w:proofErr w:type="spellEnd"/>
      <w:r w:rsidR="00963233" w:rsidRPr="00520D6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заболевания нервной </w:t>
      </w:r>
      <w:r w:rsidR="006E1D4F" w:rsidRPr="00520D62">
        <w:rPr>
          <w:rFonts w:ascii="Times New Roman" w:eastAsia="Times New Roman" w:hAnsi="Times New Roman"/>
          <w:sz w:val="28"/>
          <w:szCs w:val="28"/>
          <w:lang w:eastAsia="ru-RU"/>
        </w:rPr>
        <w:t>системы, в том числе в анамнезе;</w:t>
      </w:r>
    </w:p>
    <w:p w14:paraId="49221B78" w14:textId="77777777" w:rsidR="00963233" w:rsidRPr="004322E3" w:rsidRDefault="005B3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D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95718" w:rsidRPr="00520D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D4F" w:rsidRPr="00520D6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63233" w:rsidRPr="00520D62">
        <w:rPr>
          <w:rFonts w:ascii="Times New Roman" w:eastAsia="Times New Roman" w:hAnsi="Times New Roman"/>
          <w:sz w:val="28"/>
          <w:szCs w:val="28"/>
          <w:lang w:eastAsia="ru-RU"/>
        </w:rPr>
        <w:t>ациенты старше 65 лет.</w:t>
      </w:r>
    </w:p>
    <w:p w14:paraId="3C84A75B" w14:textId="77777777" w:rsidR="007D0E84" w:rsidRPr="00613D39" w:rsidRDefault="007D0E8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481522F4" w14:textId="77777777" w:rsidR="00953482" w:rsidRPr="00613D39" w:rsidRDefault="0082731E" w:rsidP="00953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D39">
        <w:rPr>
          <w:rFonts w:ascii="Times New Roman" w:hAnsi="Times New Roman"/>
          <w:sz w:val="28"/>
          <w:szCs w:val="28"/>
        </w:rPr>
        <w:t>Е</w:t>
      </w:r>
      <w:r w:rsidR="00953482" w:rsidRPr="00613D39">
        <w:rPr>
          <w:rFonts w:ascii="Times New Roman" w:hAnsi="Times New Roman"/>
          <w:sz w:val="28"/>
          <w:szCs w:val="28"/>
        </w:rPr>
        <w:t xml:space="preserve">сли </w:t>
      </w:r>
      <w:r w:rsidRPr="00613D39">
        <w:rPr>
          <w:rFonts w:ascii="Times New Roman" w:hAnsi="Times New Roman"/>
          <w:sz w:val="28"/>
          <w:szCs w:val="28"/>
        </w:rPr>
        <w:t xml:space="preserve">пациент принимает, недавно принимал или </w:t>
      </w:r>
      <w:r w:rsidR="00D90D96" w:rsidRPr="00613D39">
        <w:rPr>
          <w:rFonts w:ascii="Times New Roman" w:hAnsi="Times New Roman"/>
          <w:sz w:val="28"/>
          <w:szCs w:val="28"/>
        </w:rPr>
        <w:t>планирует</w:t>
      </w:r>
      <w:r w:rsidR="00953482" w:rsidRPr="00613D39">
        <w:rPr>
          <w:rFonts w:ascii="Times New Roman" w:hAnsi="Times New Roman"/>
          <w:sz w:val="28"/>
          <w:szCs w:val="28"/>
        </w:rPr>
        <w:t xml:space="preserve"> приним</w:t>
      </w:r>
      <w:r w:rsidRPr="00613D39">
        <w:rPr>
          <w:rFonts w:ascii="Times New Roman" w:hAnsi="Times New Roman"/>
          <w:sz w:val="28"/>
          <w:szCs w:val="28"/>
        </w:rPr>
        <w:t>ать какие-либо другие лекарства, то об этом необходимо сообщить врачу.</w:t>
      </w:r>
    </w:p>
    <w:p w14:paraId="6DEABCC2" w14:textId="77777777" w:rsidR="00953482" w:rsidRPr="00613D39" w:rsidRDefault="00650E43" w:rsidP="00953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Адалира</w:t>
      </w:r>
      <w:proofErr w:type="spellEnd"/>
      <w:r w:rsidR="00953482" w:rsidRPr="00613D39">
        <w:rPr>
          <w:rFonts w:ascii="Times New Roman" w:hAnsi="Times New Roman"/>
          <w:sz w:val="28"/>
          <w:szCs w:val="28"/>
        </w:rPr>
        <w:t xml:space="preserve"> можно принимать вместе с метотрексатом или некоторыми </w:t>
      </w:r>
      <w:r w:rsidR="002318D4" w:rsidRPr="00613D39">
        <w:rPr>
          <w:rFonts w:ascii="Times New Roman" w:hAnsi="Times New Roman"/>
          <w:sz w:val="28"/>
          <w:szCs w:val="28"/>
        </w:rPr>
        <w:t xml:space="preserve">противоревматическими препаратами, модифицирующими течение болезни </w:t>
      </w:r>
      <w:r w:rsidR="00953482" w:rsidRPr="00613D39">
        <w:rPr>
          <w:rFonts w:ascii="Times New Roman" w:hAnsi="Times New Roman"/>
          <w:sz w:val="28"/>
          <w:szCs w:val="28"/>
        </w:rPr>
        <w:t>(</w:t>
      </w:r>
      <w:proofErr w:type="spellStart"/>
      <w:r w:rsidR="00953482" w:rsidRPr="00613D39">
        <w:rPr>
          <w:rFonts w:ascii="Times New Roman" w:hAnsi="Times New Roman"/>
          <w:sz w:val="28"/>
          <w:szCs w:val="28"/>
        </w:rPr>
        <w:t>сульфасалазин</w:t>
      </w:r>
      <w:proofErr w:type="spellEnd"/>
      <w:r w:rsidR="00953482" w:rsidRPr="00613D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53482" w:rsidRPr="00613D39">
        <w:rPr>
          <w:rFonts w:ascii="Times New Roman" w:hAnsi="Times New Roman"/>
          <w:sz w:val="28"/>
          <w:szCs w:val="28"/>
        </w:rPr>
        <w:t>гидроксихлорохин</w:t>
      </w:r>
      <w:proofErr w:type="spellEnd"/>
      <w:r w:rsidR="00953482" w:rsidRPr="00613D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53482" w:rsidRPr="00613D39">
        <w:rPr>
          <w:rFonts w:ascii="Times New Roman" w:hAnsi="Times New Roman"/>
          <w:sz w:val="28"/>
          <w:szCs w:val="28"/>
        </w:rPr>
        <w:t>лефлуномид</w:t>
      </w:r>
      <w:proofErr w:type="spellEnd"/>
      <w:r w:rsidR="00953482" w:rsidRPr="00613D39">
        <w:rPr>
          <w:rFonts w:ascii="Times New Roman" w:hAnsi="Times New Roman"/>
          <w:sz w:val="28"/>
          <w:szCs w:val="28"/>
        </w:rPr>
        <w:t xml:space="preserve"> и препараты золота для инъекций), </w:t>
      </w:r>
      <w:r w:rsidR="002318D4" w:rsidRPr="00613D39">
        <w:rPr>
          <w:rFonts w:ascii="Times New Roman" w:hAnsi="Times New Roman"/>
          <w:sz w:val="28"/>
          <w:szCs w:val="28"/>
        </w:rPr>
        <w:t>кортикостероидами</w:t>
      </w:r>
      <w:r w:rsidR="00953482" w:rsidRPr="00613D39">
        <w:rPr>
          <w:rFonts w:ascii="Times New Roman" w:hAnsi="Times New Roman"/>
          <w:sz w:val="28"/>
          <w:szCs w:val="28"/>
        </w:rPr>
        <w:t xml:space="preserve"> или </w:t>
      </w:r>
      <w:r w:rsidR="002318D4" w:rsidRPr="00613D39">
        <w:rPr>
          <w:rFonts w:ascii="Times New Roman" w:hAnsi="Times New Roman"/>
          <w:sz w:val="28"/>
          <w:szCs w:val="28"/>
        </w:rPr>
        <w:t>анальгетиками</w:t>
      </w:r>
      <w:r w:rsidR="00953482" w:rsidRPr="00613D39">
        <w:rPr>
          <w:rFonts w:ascii="Times New Roman" w:hAnsi="Times New Roman"/>
          <w:sz w:val="28"/>
          <w:szCs w:val="28"/>
        </w:rPr>
        <w:t>, включая нестероидные противовоспалительные препараты).</w:t>
      </w:r>
    </w:p>
    <w:p w14:paraId="615861AD" w14:textId="77777777" w:rsidR="00B3163D" w:rsidRPr="00613D39" w:rsidRDefault="00B3163D" w:rsidP="00953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D39">
        <w:rPr>
          <w:rFonts w:ascii="Times New Roman" w:hAnsi="Times New Roman"/>
          <w:sz w:val="28"/>
          <w:szCs w:val="28"/>
        </w:rPr>
        <w:t xml:space="preserve">Не рекомендуется одновременное применение </w:t>
      </w:r>
      <w:r w:rsidR="00C669AA">
        <w:rPr>
          <w:rFonts w:ascii="Times New Roman" w:hAnsi="Times New Roman"/>
          <w:sz w:val="28"/>
          <w:szCs w:val="28"/>
        </w:rPr>
        <w:t xml:space="preserve">препарата </w:t>
      </w:r>
      <w:proofErr w:type="spellStart"/>
      <w:r w:rsidR="00C669AA">
        <w:rPr>
          <w:rFonts w:ascii="Times New Roman" w:hAnsi="Times New Roman"/>
          <w:sz w:val="28"/>
          <w:szCs w:val="28"/>
        </w:rPr>
        <w:t>Адалира</w:t>
      </w:r>
      <w:proofErr w:type="spellEnd"/>
      <w:r w:rsidRPr="00613D39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CE2CCD" w:rsidRPr="00613D39">
        <w:rPr>
          <w:rFonts w:ascii="Times New Roman" w:hAnsi="Times New Roman"/>
          <w:sz w:val="28"/>
          <w:szCs w:val="28"/>
        </w:rPr>
        <w:t>анакинрой</w:t>
      </w:r>
      <w:proofErr w:type="spellEnd"/>
      <w:r w:rsidRPr="00613D3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13D39">
        <w:rPr>
          <w:rFonts w:ascii="Times New Roman" w:hAnsi="Times New Roman"/>
          <w:sz w:val="28"/>
          <w:szCs w:val="28"/>
        </w:rPr>
        <w:t>абатацептом</w:t>
      </w:r>
      <w:proofErr w:type="spellEnd"/>
      <w:r w:rsidR="00EF1DFB" w:rsidRPr="00613D39">
        <w:rPr>
          <w:rFonts w:ascii="Times New Roman" w:hAnsi="Times New Roman"/>
          <w:sz w:val="28"/>
          <w:szCs w:val="28"/>
        </w:rPr>
        <w:t>.</w:t>
      </w:r>
    </w:p>
    <w:p w14:paraId="16A805CA" w14:textId="77777777" w:rsidR="00D43297" w:rsidRPr="00613D39" w:rsidRDefault="00D43297" w:rsidP="0095348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46F2C4FD" w14:textId="77777777" w:rsidR="00B53092" w:rsidRPr="004B0883" w:rsidRDefault="00B5309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Инфекции</w:t>
      </w:r>
    </w:p>
    <w:p w14:paraId="6A7BF6FF" w14:textId="77777777" w:rsidR="004B0883" w:rsidRPr="00613D39" w:rsidRDefault="004B0883" w:rsidP="004B08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Пациенты, принимающие антагонисты ФНО, более подвержены серьезным инфекциям. Нарушение функции легких может повысить риск развития инфекций. За пациентами следует тщательно наблюдать до, во время и после лечения </w:t>
      </w:r>
      <w:r w:rsidR="00997DD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997DD3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учитывая риск развития инфекций (включая туберкулёз). Поскольку выведение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может занять до четырех месяцев, мониторинг за пациентом следует продолжать в течение всего этого периода.</w:t>
      </w:r>
    </w:p>
    <w:p w14:paraId="30BF93B7" w14:textId="77777777" w:rsidR="004B0883" w:rsidRPr="00613D39" w:rsidRDefault="004B0883" w:rsidP="004B08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Применение </w:t>
      </w:r>
      <w:r w:rsidR="0041079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препарата </w:t>
      </w:r>
      <w:proofErr w:type="spellStart"/>
      <w:r w:rsidR="0041079B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не следует начинать у пациентов с активными инфекционными заболеваниями, включающими хронические или очаговые инфекции, до купирования инфекции. У пациентов, у </w:t>
      </w: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которых был контакт с больным туберкулезом или посещавших места с высоким уровнем заболеваемости туберкулезом или эндемических по микозу зон (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гистоплазмоз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кокцидоидомикоз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или бластомикоз), риск и польза лечения </w:t>
      </w:r>
      <w:r w:rsidR="004D3F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4D3FCC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должен быть оценены до начала терапии.</w:t>
      </w:r>
    </w:p>
    <w:p w14:paraId="4092AFB8" w14:textId="77777777" w:rsidR="004B0883" w:rsidRPr="00613D39" w:rsidRDefault="004B0883" w:rsidP="004B08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Пациенты, у которых развилось новое инфекционное заболевание во время лечения </w:t>
      </w:r>
      <w:r w:rsidR="001F093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1F093E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должны находиться под тщательным наблюдением и пройти полный объем диагностических обследований. Лечение </w:t>
      </w:r>
      <w:r w:rsidR="001F093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1F093E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следует прекратить при развити</w:t>
      </w:r>
      <w:r w:rsidR="008F3990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пациента тяжелой инфекции или сепсиса, и следует начать соответствующую противомикробную или противогрибковую терапию до тех пор, пока инфекция не будет под контролем.</w:t>
      </w:r>
    </w:p>
    <w:p w14:paraId="566BF052" w14:textId="77777777" w:rsidR="004B0883" w:rsidRPr="00613D39" w:rsidRDefault="001F093E" w:rsidP="004B08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="004B0883"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следует назначать с осторожностью пациентам с рецидивирующими инфекциями в анамнезе и при наличии условий, предрасполагающих к развитию инфекций, включая сопутствующее лечение </w:t>
      </w:r>
      <w:proofErr w:type="spellStart"/>
      <w:r w:rsidR="004B0883"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иммуносупрессивными</w:t>
      </w:r>
      <w:proofErr w:type="spellEnd"/>
      <w:r w:rsidR="004B0883"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препаратами.</w:t>
      </w:r>
    </w:p>
    <w:p w14:paraId="05EF68C3" w14:textId="77777777" w:rsidR="009369ED" w:rsidRPr="00613D39" w:rsidRDefault="009369ED" w:rsidP="009369E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Серьезные инфекции</w:t>
      </w:r>
    </w:p>
    <w:p w14:paraId="4C92B4B1" w14:textId="77777777" w:rsidR="009369ED" w:rsidRPr="00613D39" w:rsidRDefault="009369ED" w:rsidP="009369ED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Серьезные инфекции, включая сепсис: бактериальные, </w:t>
      </w:r>
      <w:proofErr w:type="spellStart"/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микобактериальные</w:t>
      </w:r>
      <w:proofErr w:type="spellEnd"/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, инвазивные грибковые, вирусные, паразитарные или другие оппортунистические инфекции, например, </w:t>
      </w:r>
      <w:proofErr w:type="spellStart"/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листериоз</w:t>
      </w:r>
      <w:proofErr w:type="spellEnd"/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, легионеллез и пневмоцистная инфекция, наблюдались у пациентов, применявших </w:t>
      </w:r>
      <w:proofErr w:type="spellStart"/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адалимумаб</w:t>
      </w:r>
      <w:proofErr w:type="spellEnd"/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. Наблюдались и другие серьезные инфекции: пневмония, пиелонефрит, септический артрит и септицемия. Были сообщения о госпитализации пациентов с развившимися инфекциями (в том числе с фатальным исходом).</w:t>
      </w:r>
    </w:p>
    <w:p w14:paraId="332AB874" w14:textId="77777777" w:rsidR="006A078C" w:rsidRPr="00613D39" w:rsidRDefault="006A078C" w:rsidP="006A078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Туберкулез</w:t>
      </w:r>
    </w:p>
    <w:p w14:paraId="08F2FEEE" w14:textId="77777777" w:rsidR="006A078C" w:rsidRPr="00613D39" w:rsidRDefault="006A078C" w:rsidP="006A07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Сообщалось </w:t>
      </w:r>
      <w:r w:rsidR="00CF030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 </w:t>
      </w: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случаях реактивации и о развитии новой инфекции туберкулеза у пациентов, получавших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. Сообщения включали случаи туберкулеза легочной и внелегочной (то есть диссеминированной) формы.</w:t>
      </w:r>
    </w:p>
    <w:p w14:paraId="6D2A9A32" w14:textId="77777777" w:rsidR="006A078C" w:rsidRPr="00613D39" w:rsidRDefault="006A078C" w:rsidP="006A07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Перед началом терапии </w:t>
      </w:r>
      <w:r w:rsidR="00BD640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BD640E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все пациенты должны быть тщательно обследованы на активный и неактивный («латентный») туберкулез.</w:t>
      </w:r>
    </w:p>
    <w:p w14:paraId="166A50AD" w14:textId="77777777" w:rsidR="006A078C" w:rsidRPr="00613D39" w:rsidRDefault="006A078C" w:rsidP="006A07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Обследование должно включать подробную оценку анамнеза пациента с туберкулезом или сведения о возможных контактах с людьми, больными активным туберкулезом, и о ранее проводимой или сопутствующей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иммуносупрессивной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терапии, а также необходимые скрининговые обследования (рентгенография органов грудной клетки и туберкулиновая кожная проба).</w:t>
      </w:r>
    </w:p>
    <w:p w14:paraId="07A5AE87" w14:textId="77777777" w:rsidR="006A078C" w:rsidRPr="00613D39" w:rsidRDefault="006A078C" w:rsidP="006A07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Рекомендуется записывать в медицинскую карту пациента результаты проведенного обследования. Следует учитывать риск получения ложноотрицательных результатов туберкулиновой кожной пробы, особенно у тяжелобольных пациентов или пациентов с ослабленным иммунитетом.</w:t>
      </w:r>
    </w:p>
    <w:p w14:paraId="7A2534ED" w14:textId="77777777" w:rsidR="006A078C" w:rsidRPr="00613D39" w:rsidRDefault="006A078C" w:rsidP="006A07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Если диагностирован активный туберкулез, терапию </w:t>
      </w:r>
      <w:r w:rsidR="00C30C5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C30C5B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начинать нельзя (см. </w:t>
      </w: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Противопоказания</w:t>
      </w: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).</w:t>
      </w:r>
    </w:p>
    <w:p w14:paraId="006C57AC" w14:textId="77777777" w:rsidR="006A078C" w:rsidRPr="00613D39" w:rsidRDefault="006A078C" w:rsidP="006A07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При подозрении на латентный туберкулез необходимо проконсультироваться с фтизиатром и оценить безопасность противотуберкулезного лечения.</w:t>
      </w:r>
    </w:p>
    <w:p w14:paraId="576C006E" w14:textId="77777777" w:rsidR="006A078C" w:rsidRPr="00613D39" w:rsidRDefault="006A078C" w:rsidP="006A07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случае латентного туберкулеза перед началом терапии </w:t>
      </w:r>
      <w:r w:rsidR="008224A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8224AE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следует провести специфическое профилактическое лечение. Следует взвесить необходимость применения противотуберкулезного лечения перед началом терапии препаратом </w:t>
      </w:r>
      <w:proofErr w:type="spellStart"/>
      <w:r w:rsidR="00AE179E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пациентов, имеющих факторы риска развития туберкулезной инфекции, но у которых получен негативный результат теста на латентный туберкулез и у пациентов, у которых был в анамнезе латентный или активный туберкулез и для которых не может быть подтверждено соответствующее лечение. </w:t>
      </w:r>
    </w:p>
    <w:p w14:paraId="65595679" w14:textId="77777777" w:rsidR="006A078C" w:rsidRPr="00613D39" w:rsidRDefault="006A078C" w:rsidP="006A07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Несмотря на профилактическое лечение туберкулеза, возникали случаи реактивации у пациентов, которые получали лечение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адалимумабом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У некоторых пациентов после успешного лечения активного туберкулеза развивался туберкулез во время лечения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адалимумабом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2F575572" w14:textId="77777777" w:rsidR="006A078C" w:rsidRPr="00613D39" w:rsidRDefault="006A078C" w:rsidP="006A07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Все пациенты должны быть предупреждены о необходимости консультации врача при появлении признаков/симптомов, напоминающих туберкулез (например, постоянный кашель, уменьшение массы тела, субфебрильная температура, апатия) </w:t>
      </w:r>
      <w:proofErr w:type="gram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во время</w:t>
      </w:r>
      <w:proofErr w:type="gram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или после лечения </w:t>
      </w:r>
      <w:r w:rsidR="00B12D2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B12D2A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4475C90F" w14:textId="77777777" w:rsidR="00447BD9" w:rsidRPr="00613D39" w:rsidRDefault="00447BD9" w:rsidP="00447BD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Другие оппортунистические инфекции</w:t>
      </w:r>
    </w:p>
    <w:p w14:paraId="75AF2BB3" w14:textId="77777777" w:rsidR="00447BD9" w:rsidRPr="00613D39" w:rsidRDefault="00447BD9" w:rsidP="00447B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 пациентов, получавших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, наблюдались оппортунистические инфекции, включая грибковые инфекции. Эти инфекции не всегда своевременно диагностировались у пациентов, принимающих антагонисты ФНО, что приводило к задержкам в назначении соответствующего лечения и летальному исходу.</w:t>
      </w:r>
    </w:p>
    <w:p w14:paraId="5C2C5767" w14:textId="77777777" w:rsidR="00447BD9" w:rsidRPr="00613D39" w:rsidRDefault="00447BD9" w:rsidP="00447B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 пациентов с такими симптомами как лихорадка, недомогание, потеря веса, повышение потливости, кашель, одышка и/или инфильтраты в легких или другие признаки серьезного системного заболевания с шоком или без него, следует предположить развитие инвазивной грибковой инфекции и прекратить терапию </w:t>
      </w:r>
      <w:r w:rsidR="00A264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A26483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="00A264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до тех пор, пока симптомы инфекции не будут устранены. Таких пациентов следует незамедлительно обследовать, и назначить эмпирическую противогрибковую терапию после предварительной консультации с врачом, имеющим опыт лечения грибковых инфекций.</w:t>
      </w:r>
    </w:p>
    <w:p w14:paraId="2C22017B" w14:textId="77777777" w:rsidR="0050229E" w:rsidRPr="00613D39" w:rsidRDefault="0050229E" w:rsidP="0050229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Реактивация гепатита В</w:t>
      </w:r>
    </w:p>
    <w:p w14:paraId="2F9F9736" w14:textId="77777777" w:rsidR="0050229E" w:rsidRPr="00613D39" w:rsidRDefault="0050229E" w:rsidP="005022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Применение блокаторов ФНО связано с риском реактивации вируса гепатита В (ВГВ) у пациентов, которые являются хроническими носителями этого вируса. В некоторых случаях реактивация ВГВ, возникающая в связи с приемом блокаторов ФНО, приводила к летальному исходу. Перед началом лечения </w:t>
      </w:r>
      <w:r w:rsidR="001F077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1F0776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пациенты должны пройти диагностику инфекции ВГВ. Носителям ВГВ назначать </w:t>
      </w:r>
      <w:r w:rsidR="001F077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 </w:t>
      </w:r>
      <w:proofErr w:type="spellStart"/>
      <w:r w:rsidR="001F0776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следует с осторожностью.</w:t>
      </w:r>
    </w:p>
    <w:p w14:paraId="1878D00E" w14:textId="77777777" w:rsidR="0050229E" w:rsidRPr="00613D39" w:rsidRDefault="0050229E" w:rsidP="005022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Носители ВГВ, нуждающиеся в терапии </w:t>
      </w:r>
      <w:r w:rsidR="00043B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043B73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, должны быть тщательно обследованы для выявления признаков активной ВГВ инфекции во время терапии и через несколько месяцев после окончания терапии.</w:t>
      </w:r>
    </w:p>
    <w:p w14:paraId="6DD26FF7" w14:textId="77777777" w:rsidR="0050229E" w:rsidRPr="00613D39" w:rsidRDefault="0050229E" w:rsidP="005022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Отсутствуют достоверные данные о безопасности или эффективности лечения носителей ВГВ противовирусными препаратами совместно с блокаторами ФНО для предотвращения реактивации ВГВ. У пациентов, у которых развивается реактивация ВГВ, применение </w:t>
      </w:r>
      <w:r w:rsidR="00043B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препарата </w:t>
      </w:r>
      <w:proofErr w:type="spellStart"/>
      <w:r w:rsidR="00043B73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следует приостановить и начать эффективную противовирусную терапию с соответствующим поддерживающим лечением.</w:t>
      </w:r>
    </w:p>
    <w:p w14:paraId="3D1E507D" w14:textId="77777777" w:rsidR="005D7D31" w:rsidRPr="00613D39" w:rsidRDefault="005D7D31" w:rsidP="005D7D3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Неврологические осложнения</w:t>
      </w:r>
    </w:p>
    <w:p w14:paraId="4F02ABB1" w14:textId="77777777" w:rsidR="005D7D31" w:rsidRPr="00613D39" w:rsidRDefault="005D7D31" w:rsidP="005D7D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Применение антагонистов ФНО, включая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связано с редкими случаями возникновения или ухудшения клинических проявлений и/или рентгенологических признаков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демиелинизирующих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заболеваний ЦНС, включая рассеянный склероз и неврит зрительного нерва, а также периферические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демиелинизирующие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заболевания, включая синдром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Гийена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-Барре. Следует с осторожностью назначать </w:t>
      </w:r>
      <w:r w:rsidR="00043B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 </w:t>
      </w:r>
      <w:proofErr w:type="spellStart"/>
      <w:r w:rsidR="00043B73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пациентам с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демиелинизирующими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заболеваниями центральной и периферической нервной системы текущими или в анамнезе. В случае развития описанных выше явлений следует рассмотреть возможность отмены </w:t>
      </w:r>
      <w:r w:rsidR="00043B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препарата </w:t>
      </w:r>
      <w:proofErr w:type="spellStart"/>
      <w:r w:rsidR="00043B73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34818ECD" w14:textId="77777777" w:rsidR="005D7D31" w:rsidRPr="00613D39" w:rsidRDefault="005D7D31" w:rsidP="005D7D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Существует известная связь между промежуточным увеитом и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демиелинизирующими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нарушения ЦНС. Следует проводить неврологическое обследование пациентов с неинфекционным промежуточным увеитом до начала терапии </w:t>
      </w:r>
      <w:r w:rsidR="00043B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043B73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регулярно во время лечения для оценки существующих или развивающихся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демиелинизирующих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нарушений ЦНС.</w:t>
      </w:r>
    </w:p>
    <w:p w14:paraId="69501EB8" w14:textId="77777777" w:rsidR="000D2835" w:rsidRPr="00613D39" w:rsidRDefault="000D2835" w:rsidP="000D283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Аллергические реакции</w:t>
      </w:r>
    </w:p>
    <w:p w14:paraId="41B7674A" w14:textId="77777777" w:rsidR="000D2835" w:rsidRPr="00613D39" w:rsidRDefault="000D2835" w:rsidP="000D28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Серьезные аллергические реакции, связанные с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адалимумабом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во время клинических испытаний наблюдались редко. Несерьезные аллергические реакции, связанные с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адалимумабом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во время клинических испытаний не наблюдались. Имеются данные о серьезных аллергических реакциях, включая анафилаксию, после введения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При возникновении анафилактической реакции или другой серьезной аллергической реакция следует немедленно прекратить применение </w:t>
      </w:r>
      <w:r w:rsidR="00866D6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препарата </w:t>
      </w:r>
      <w:proofErr w:type="spellStart"/>
      <w:r w:rsidR="00866D61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начать соответствующую терапию.</w:t>
      </w:r>
    </w:p>
    <w:p w14:paraId="340251AF" w14:textId="77777777" w:rsidR="007A7F8B" w:rsidRPr="00613D39" w:rsidRDefault="007A7F8B" w:rsidP="007A7F8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proofErr w:type="spellStart"/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Имуносупрессия</w:t>
      </w:r>
      <w:proofErr w:type="spellEnd"/>
    </w:p>
    <w:p w14:paraId="58046B35" w14:textId="77777777" w:rsidR="007A7F8B" w:rsidRPr="00613D39" w:rsidRDefault="007A7F8B" w:rsidP="007A7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исследовании с участием 64 пациентов с ревматоидным артритом, принимавших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не было обнаружено доказательств снижения гиперчувствительности замедленного типа, снижения уровня иммуноглобулинов или изменения количества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эффекторных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T-, B-, NK-клеток, моноцитов/макрофагов и нейтрофилов.</w:t>
      </w:r>
    </w:p>
    <w:p w14:paraId="3C91B8C8" w14:textId="77777777" w:rsidR="00FF6F99" w:rsidRPr="00613D39" w:rsidRDefault="00FF6F99" w:rsidP="00FF6F9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Злокачественные новообразования и </w:t>
      </w:r>
      <w:proofErr w:type="spellStart"/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лимфопролиферативные</w:t>
      </w:r>
      <w:proofErr w:type="spellEnd"/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 заболевания</w:t>
      </w:r>
      <w:r w:rsidRPr="00613D39" w:rsidDel="00D1480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 </w:t>
      </w:r>
    </w:p>
    <w:p w14:paraId="3D6A930B" w14:textId="77777777" w:rsidR="00FF6F99" w:rsidRPr="00613D39" w:rsidRDefault="00FF6F99" w:rsidP="00FF6F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 изучении антагонистов ФНО было зарегистрировано больше случаев злокачественных новообразований, включая лимфому, среди пациентов, </w:t>
      </w: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получавших антагонисты ФНО, чем среди пациентов контрольной группы. Однако это было редкостью. В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постмаркетинговом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периоде регистрировались случаи лейкемии у пациентов, получавших антагонисты ФНО. Более того, риск возникновения лимфомы и лейкоза повышается у пациентов с давним высокоактивным ревматоидным артритом, что усложняет оценку риска. Однако нельзя исключать вероятный риск развития лимфом, лейкемий или других злокачественных новообразований у пациентов, которые лечатся антагонистами ФНО.</w:t>
      </w:r>
    </w:p>
    <w:p w14:paraId="3C97E44A" w14:textId="77777777" w:rsidR="00FF6F99" w:rsidRPr="00613D39" w:rsidRDefault="00FF6F99" w:rsidP="00FF6F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Сообщалось о случаях развития злокачественных новообразований, в том числе с летальным исходом, среди детей, подростков и молодых людей (до 22 лет), получавших ФНО (начало терапии в возрасте ≤ 18 лет), включая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Приблизительно половина из этих случаев – лимфомы. Другие случаи были представлены различными видами злокачественных новообразований, среди них сообщалось о редких случаях злокачественных новообразований, которые, как правило, связаны с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иммуносупрессией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. Нельзя исключать вероятный риск развития злокачественных новообразований у детей и подростков, принимающих антагонисты ФНО.</w:t>
      </w:r>
    </w:p>
    <w:p w14:paraId="2A1DB5D0" w14:textId="77777777" w:rsidR="00FF6F99" w:rsidRPr="00613D39" w:rsidRDefault="00FF6F99" w:rsidP="00FF6F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постмаркетинговом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периоде очень редко у пациентов, применявших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сообщалось о случаях развития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гепатолиенальной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Т-клеточной лимфомы. Это редкий тип Т-клеточной лимфомы, характеризующийся очень агрессивным течением и обычно являющийся фатальным. Некоторые случаи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гепатолиенальной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Т-клеточной лимфомы, вызванные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адалимумабом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наблюдались у молодых людей на фоне сопутствующего лечения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азатиоприном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или 6-меркаптопурином для лечения воспалительных заболеваний кишечника. Потенциальный риск одновременного применения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азатиоприна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или 6-меркаптопурина с препаратом </w:t>
      </w:r>
      <w:proofErr w:type="spellStart"/>
      <w:r w:rsidR="009A68DB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должен быть тщательно оценен. Нельзя исключать вероятный риск развития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гепатолиенальной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Т-клеточной лимфомы у пациентов, принимающих </w:t>
      </w:r>
      <w:r w:rsidR="009A68D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 </w:t>
      </w:r>
      <w:proofErr w:type="spellStart"/>
      <w:r w:rsidR="009A68DB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50D4B89D" w14:textId="77777777" w:rsidR="00FF6F99" w:rsidRPr="00613D39" w:rsidRDefault="00FF6F99" w:rsidP="00FF6F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 проводилось исследований, включающих пациентов со злокачественными новообразованиями в анамнезе или у которых продолжалась терапия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адалимумабом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после образования злокачественной опухоли. Таким образом следует проявлять дополнительную осторожность при применении </w:t>
      </w:r>
      <w:r w:rsidR="004379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препарата </w:t>
      </w:r>
      <w:proofErr w:type="spellStart"/>
      <w:r w:rsidR="00437975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этих пациентов.</w:t>
      </w:r>
    </w:p>
    <w:p w14:paraId="0BBB46E4" w14:textId="77777777" w:rsidR="00FF6F99" w:rsidRPr="00613D39" w:rsidRDefault="00FF6F99" w:rsidP="00FF6F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 всех пациентов, особенно при интенсивной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иммуносупрессивной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терапии в анамнезе, или у пациентов с псориазом, которым проводилась PUVA-терапия, следует исключить наличие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немеланомного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рака кожи до и во время применения </w:t>
      </w:r>
      <w:r w:rsidR="0043797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препарата </w:t>
      </w:r>
      <w:proofErr w:type="spellStart"/>
      <w:r w:rsidR="00437975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. Имеются данные о случая</w:t>
      </w:r>
      <w:r w:rsidR="00405374">
        <w:rPr>
          <w:rFonts w:ascii="Times New Roman" w:eastAsia="Times New Roman" w:hAnsi="Times New Roman"/>
          <w:sz w:val="28"/>
          <w:szCs w:val="28"/>
          <w:lang w:eastAsia="ru-RU" w:bidi="ru-RU"/>
        </w:rPr>
        <w:t>х</w:t>
      </w: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возникновения меланомы и карциномы клеток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Меркеля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пациентов, получавших антагонисты ФНО, включая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2A9B42DD" w14:textId="77777777" w:rsidR="00FF6F99" w:rsidRPr="00613D39" w:rsidRDefault="00FF6F99" w:rsidP="00FF6F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 изучении применения другого антагониста ФНО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инфликсимаба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пациентов с хронической обструктивной болезнью легких (ХОБЛ) возникновение злокачественных новообразований (в основном легких, головы или шеи) наблюдалось чаще среди пациентов, получавших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инфликсимаб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, чем в контрольной группе. По данным анамнеза все пациенты заядлые курильщики. Следовательно, следует соблюдать осторожность при применении любого антагониста ФНО у пациентов с ХОБЛ, а также у пациентов с повышенным риском злокачественных новообразований из-за тяжелого курения.</w:t>
      </w:r>
    </w:p>
    <w:p w14:paraId="2160EE4E" w14:textId="77777777" w:rsidR="00FF6F99" w:rsidRPr="00613D39" w:rsidRDefault="00FF6F99" w:rsidP="00FF6F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настоящий момент неизвестно, влияет ли применение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риск развития дисплазии или рака кишечника. Все пациенты с язвенным колитом, которые входят в группу с повышенным риском развития дисплазии или рака кишечника (например, пациенты с продолжительным язвенным колитом или первичным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склерозирующим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холангитом), или те, которые имели в анамнезе дисплазию или рак кишечника, должны проходить регулярные обследования относительно наличия дисплазии перед началом терапии и на протяжении всей болезни. Обследование должно включать колоноскопию и биопсию. </w:t>
      </w:r>
    </w:p>
    <w:p w14:paraId="1EA2EDE5" w14:textId="77777777" w:rsidR="003914C2" w:rsidRPr="00613D39" w:rsidRDefault="003914C2" w:rsidP="003914C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Гематологические осложнения</w:t>
      </w:r>
    </w:p>
    <w:p w14:paraId="6B8D2F93" w14:textId="77777777" w:rsidR="00925FCD" w:rsidRDefault="003914C2" w:rsidP="003914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Сообщалось о редких случаях развития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панцитопении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включая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апластическую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анемию, при применении блокаторов ФНО. Изредка сообщалось о побочных эффектах со стороны системы крови, включающих значительную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цитопению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(в том числе тромбоцитопению, лейкопению) при лечении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адалимумабом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Всем пациентам следует рекомендовать немедленно обратиться к врачу, если у них развиваются признаки и симптомы, указывающие на нарушения со стороны системы крови (например,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персистирующая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лихорадка, гематомы, кровотечение, бледность) при лечении </w:t>
      </w:r>
      <w:r w:rsidR="00622F1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622F1A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Следует прекратить терапию </w:t>
      </w:r>
      <w:r w:rsidR="00622F1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622F1A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пациентов с подтвержденными значительными гематологическими нарушениями.</w:t>
      </w:r>
    </w:p>
    <w:p w14:paraId="2266FBE3" w14:textId="77777777" w:rsidR="000207A9" w:rsidRPr="000207A9" w:rsidRDefault="000207A9" w:rsidP="000207A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0207A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Вакцинация</w:t>
      </w:r>
    </w:p>
    <w:p w14:paraId="63D9F314" w14:textId="77777777" w:rsidR="000207A9" w:rsidRPr="000207A9" w:rsidRDefault="000207A9" w:rsidP="000207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207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Нет данных относительно вторичной передачи инфекции живыми вакцинами у пациентов, получавших </w:t>
      </w:r>
      <w:proofErr w:type="spellStart"/>
      <w:r w:rsidRPr="000207A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</w:t>
      </w:r>
      <w:proofErr w:type="spellEnd"/>
      <w:r w:rsidRPr="000207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</w:p>
    <w:p w14:paraId="3B4F2846" w14:textId="77777777" w:rsidR="000207A9" w:rsidRPr="000207A9" w:rsidRDefault="000207A9" w:rsidP="000207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207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Пациентам детского возраста рекомендуется по возможности пройти полную вакцинацию в соответствии с текущим графиком иммунизации до начала терапии </w:t>
      </w:r>
      <w:r w:rsidR="00C765F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C765F3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0207A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66C8CF62" w14:textId="77777777" w:rsidR="000207A9" w:rsidRPr="000207A9" w:rsidRDefault="000207A9" w:rsidP="000207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207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Пациенты, принимающие </w:t>
      </w:r>
      <w:r w:rsidR="00C765F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 </w:t>
      </w:r>
      <w:proofErr w:type="spellStart"/>
      <w:r w:rsidR="00C765F3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0207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могут быть вакцинированы необходимыми вакцинами, за исключением живых вакцин. </w:t>
      </w:r>
    </w:p>
    <w:p w14:paraId="40C8C728" w14:textId="77777777" w:rsidR="000207A9" w:rsidRPr="00613D39" w:rsidRDefault="000207A9" w:rsidP="003914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207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Введение живых вакцин (например, вакцины БЦЖ) младенцам, подвергшимся воздействию </w:t>
      </w:r>
      <w:proofErr w:type="spellStart"/>
      <w:r w:rsidRPr="000207A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адалимумаба</w:t>
      </w:r>
      <w:proofErr w:type="spellEnd"/>
      <w:r w:rsidRPr="000207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утробе матери, не рекомендуется в течение 5 месяцев после последней инъекции </w:t>
      </w:r>
      <w:proofErr w:type="spellStart"/>
      <w:r w:rsidRPr="000207A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адалимумаба</w:t>
      </w:r>
      <w:proofErr w:type="spellEnd"/>
      <w:r w:rsidRPr="000207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матери во время беременности.</w:t>
      </w:r>
    </w:p>
    <w:p w14:paraId="718D1A3A" w14:textId="77777777" w:rsidR="00116427" w:rsidRPr="00613D39" w:rsidRDefault="00116427" w:rsidP="0011642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Хроническая сердечная недостаточность</w:t>
      </w:r>
    </w:p>
    <w:p w14:paraId="4D3414F6" w14:textId="77777777" w:rsidR="00116427" w:rsidRPr="00613D39" w:rsidRDefault="00116427" w:rsidP="001164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исследованиях с другими антагонистами ФНО наблюдалось ухудшение течения хронической сердечной недостаточности и повышение смертности из-за хронической сердечной недостаточности. Сообщалось также о случаях прогрессирования хронической сердечной недостаточности у пациентов на фоне терапии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адалимумабом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="000B0D3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 </w:t>
      </w:r>
      <w:proofErr w:type="spellStart"/>
      <w:r w:rsidR="000B0D3C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следует применять осторожностью пациентам с сердечной недостаточностью </w:t>
      </w: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легкой степени (I/II функциональный класс по классификации NYHA). Лечение </w:t>
      </w:r>
      <w:r w:rsidR="000B0D3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0B0D3C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следует прекратить в случае появления новых или ухудшения имеющихся симптомов хронической сердечной недостаточности.</w:t>
      </w:r>
    </w:p>
    <w:p w14:paraId="6214FECD" w14:textId="77777777" w:rsidR="006F5D12" w:rsidRPr="00613D39" w:rsidRDefault="006F5D12" w:rsidP="006F5D1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Аутоиммунные процессы</w:t>
      </w:r>
    </w:p>
    <w:p w14:paraId="5A7FEBB8" w14:textId="77777777" w:rsidR="006F5D12" w:rsidRPr="00613D39" w:rsidRDefault="006F5D12" w:rsidP="006F5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Лечение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адалимумабом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может приводить к формированию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аутоантител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Влияние длительного применения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развитие аутоиммунных заболеваний не изучено.</w:t>
      </w:r>
    </w:p>
    <w:p w14:paraId="7882C53C" w14:textId="77777777" w:rsidR="006F5D12" w:rsidRPr="00613D39" w:rsidRDefault="006F5D12" w:rsidP="006F5D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Если у пациента развиваются симптомы, предполагающие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волчаночноподобный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синдром в результате лечения </w:t>
      </w:r>
      <w:r w:rsidR="00EE40E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EE40ED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, следует прекратить использование препарата.</w:t>
      </w:r>
    </w:p>
    <w:p w14:paraId="4BD5955E" w14:textId="77777777" w:rsidR="002D2629" w:rsidRPr="00613D39" w:rsidRDefault="002D2629" w:rsidP="002D26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Одновременное применение с биологическими противоревматическими препаратами, модифицирующими течение болезни, или антагонистами ФНО</w:t>
      </w:r>
    </w:p>
    <w:p w14:paraId="5BD019AE" w14:textId="77777777" w:rsidR="002D2629" w:rsidRPr="00613D39" w:rsidRDefault="002D2629" w:rsidP="002D2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Серьезные инфекции наблюдались в клинических исследованиях при одновременном применении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анакинры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другого антагониста ФНО, этанерцепта, без увеличения клинического эффекта по сравнению с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монотерапией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этанерцептом. Исходя из природы нежелательных реакций, наблюдаемых при комбинации этанерцепта и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анакинры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можно предположить возникновение аналогичных токсических эффектов при одновременном применении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анакинры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 другими ингибиторами ФНО. Поэтому комбинация </w:t>
      </w:r>
      <w:r w:rsidR="00F30E5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препарата </w:t>
      </w:r>
      <w:proofErr w:type="spellStart"/>
      <w:r w:rsidR="00F30E53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анакинры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не рекомендуется.</w:t>
      </w:r>
    </w:p>
    <w:p w14:paraId="5975FC94" w14:textId="77777777" w:rsidR="002D2629" w:rsidRPr="00613D39" w:rsidRDefault="002D2629" w:rsidP="002D2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Одновременное применение </w:t>
      </w:r>
      <w:r w:rsidR="00F30E5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препарата </w:t>
      </w:r>
      <w:proofErr w:type="spellStart"/>
      <w:r w:rsidR="00F30E53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 другими биологическими противоревматическими препаратами, модифицирующими течение болезни, (например,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анакинрой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абатацептом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) или другими антагонистами ФНО не рекомендуется из-за возможного повышенного риска возникновения инфекций, включая серьезные инфекции и другие возможные фармакологические взаимодействия.</w:t>
      </w:r>
    </w:p>
    <w:p w14:paraId="1E67A7D6" w14:textId="77777777" w:rsidR="00513D98" w:rsidRPr="00613D39" w:rsidRDefault="00513D98" w:rsidP="00513D9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Операции</w:t>
      </w:r>
    </w:p>
    <w:p w14:paraId="099E9011" w14:textId="77777777" w:rsidR="00513D98" w:rsidRPr="00613D39" w:rsidRDefault="00513D98" w:rsidP="00513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Имеются ограниченные данные в отношении безопасности хирургических процедур у пациентов, получавших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При планировании хирургической процедуры следует учитывать длительный период полувыведения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Пациенты, которым требуется хирургическое вмешательство во время терапии </w:t>
      </w:r>
      <w:r w:rsidR="00DF48F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препаратом </w:t>
      </w:r>
      <w:proofErr w:type="spellStart"/>
      <w:r w:rsidR="00DF48F1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должны находиться под тщательным наблюдением на признаки инфекций. Имеется ограниченный опыт в отношении безопасности артропластики во время применения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23098F0E" w14:textId="77777777" w:rsidR="00C1640B" w:rsidRPr="00613D39" w:rsidRDefault="00C1640B" w:rsidP="00C1640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Непроходимость тонкого кишечника </w:t>
      </w:r>
    </w:p>
    <w:p w14:paraId="40C1CC60" w14:textId="77777777" w:rsidR="00925FCD" w:rsidRPr="00613D39" w:rsidRDefault="00C164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Отсутствие клинического ответа на лечение болезни Крона может указывать на наличие фиксированной фиброзной стриктуры, для лечения которой может потребоваться хирургическое вмешательство. Имеющиеся данные позволяют предположить, что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не ухудшает состояние, или не вызывает образование стриктуры.</w:t>
      </w:r>
    </w:p>
    <w:p w14:paraId="65CA52DE" w14:textId="77777777" w:rsidR="00B53092" w:rsidRPr="00613D39" w:rsidRDefault="006364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Пациенты пожилого возраста</w:t>
      </w:r>
    </w:p>
    <w:p w14:paraId="1DDA003E" w14:textId="77777777" w:rsidR="00CF02D1" w:rsidRPr="00613D39" w:rsidRDefault="00CF02D1" w:rsidP="00CF02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Частота серьезных инфекций среди пациентов старше 65 лет, получавших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(3,7%), была выше, чем среди лиц моложе 65 лет (1,5%). Некоторые из них закончились летальным исходом. Особое внимание следует уделять риску заражения при лечении пожилых людей.</w:t>
      </w:r>
      <w:r w:rsidRPr="00613D39" w:rsidDel="003B4E1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42D2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 </w:t>
      </w:r>
      <w:proofErr w:type="spellStart"/>
      <w:r w:rsidR="00D42D2E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следует назначать с осторожностью у пожилых в связи с высокой вероятностью возникновения инфекционных заболеваний.</w:t>
      </w:r>
    </w:p>
    <w:p w14:paraId="4F480C16" w14:textId="77777777" w:rsidR="005D080E" w:rsidRPr="00C669AA" w:rsidRDefault="006364D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C669AA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Применение в педиатрии</w:t>
      </w:r>
      <w:r w:rsidR="005D080E" w:rsidRPr="00C669AA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 </w:t>
      </w:r>
    </w:p>
    <w:p w14:paraId="1A047F5C" w14:textId="77777777" w:rsidR="00916D10" w:rsidRPr="00613D39" w:rsidRDefault="00916D10" w:rsidP="00916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669AA">
        <w:rPr>
          <w:rFonts w:ascii="Times New Roman" w:eastAsia="Times New Roman" w:hAnsi="Times New Roman"/>
          <w:sz w:val="28"/>
          <w:szCs w:val="28"/>
          <w:lang w:eastAsia="ru-RU" w:bidi="ru-RU"/>
        </w:rPr>
        <w:t>Смотреть «</w:t>
      </w:r>
      <w:r w:rsidRPr="00C669AA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Вакцинация</w:t>
      </w:r>
      <w:r w:rsidRPr="00C669AA">
        <w:rPr>
          <w:rFonts w:ascii="Times New Roman" w:eastAsia="Times New Roman" w:hAnsi="Times New Roman"/>
          <w:sz w:val="28"/>
          <w:szCs w:val="28"/>
          <w:lang w:eastAsia="ru-RU" w:bidi="ru-RU"/>
        </w:rPr>
        <w:t>» выше.</w:t>
      </w:r>
    </w:p>
    <w:p w14:paraId="3996BE52" w14:textId="77777777" w:rsidR="009173B2" w:rsidRPr="00613D39" w:rsidRDefault="00BB087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Во время беременности и</w:t>
      </w:r>
      <w:r w:rsidR="00B70478"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ли</w:t>
      </w: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 лактации</w:t>
      </w:r>
    </w:p>
    <w:p w14:paraId="671017B8" w14:textId="77777777" w:rsidR="00324C5C" w:rsidRPr="00613D39" w:rsidRDefault="00324C5C" w:rsidP="00324C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Женщинам детородного возраста необходимо использовать адекватные методы контрацепции для предотвращения беременности и продолжать их прием в течение по крайней мере 5 месяцев после введения </w:t>
      </w:r>
      <w:r w:rsidR="00535CB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препарата </w:t>
      </w:r>
      <w:proofErr w:type="spellStart"/>
      <w:r w:rsidR="00535CB3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6F6AD611" w14:textId="77777777" w:rsidR="00CF1B1B" w:rsidRPr="00613D39" w:rsidRDefault="00CF1B1B" w:rsidP="00CF1B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рамках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проспективного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когортного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исследования с участием беременных женщин с ревматоидным артритом или болезнью Крона, </w:t>
      </w:r>
      <w:r w:rsidR="008C71E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получавших </w:t>
      </w:r>
      <w:proofErr w:type="spellStart"/>
      <w:r w:rsidR="008C71EB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</w:t>
      </w:r>
      <w:proofErr w:type="spellEnd"/>
      <w:r w:rsidR="008C71E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 крайней мере</w:t>
      </w: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течение первого триместра беременности, в сравнении с беременными пациентками с теми же заболеваниями, не проходившими терапию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адалимумабом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, не выявлено повышенного риска развития неблагоприятных исходов беременности (врожденных пороков развития, самопроизвольных абортов, преждевременных родов, тяжелых оппортунистических инфекций и низкой массой тела новорожденных). Случаев мертворождения или злокачественных новообразований не зарегистрировано.</w:t>
      </w:r>
    </w:p>
    <w:p w14:paraId="70A33D6A" w14:textId="77777777" w:rsidR="00CF1B1B" w:rsidRPr="00613D39" w:rsidRDefault="00CF1B1B" w:rsidP="00CF1B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исследованиях на животных не выявлено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эмбрио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и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фетотоксического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действия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адалимумаба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4177F36F" w14:textId="77777777" w:rsidR="00CF1B1B" w:rsidRPr="00613D39" w:rsidRDefault="00CF1B1B" w:rsidP="00CF1B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Применение </w:t>
      </w:r>
      <w:r w:rsidR="007A39B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препарата </w:t>
      </w:r>
      <w:proofErr w:type="spellStart"/>
      <w:r w:rsidR="007A39B2">
        <w:rPr>
          <w:rFonts w:ascii="Times New Roman" w:eastAsia="Times New Roman" w:hAnsi="Times New Roman"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во время беременности возможно, если польза для матери превышает риск для плода.</w:t>
      </w:r>
    </w:p>
    <w:p w14:paraId="31C2C0C4" w14:textId="77777777" w:rsidR="001519B6" w:rsidRPr="001519B6" w:rsidRDefault="001519B6" w:rsidP="001519B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 w:bidi="ru-RU"/>
        </w:rPr>
      </w:pPr>
      <w:r w:rsidRPr="001519B6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В результате проникновения через плацентарный барьер в сыворотку крови плода и ингибирования ФНО-альфа, </w:t>
      </w:r>
      <w:proofErr w:type="spellStart"/>
      <w:r w:rsidRPr="001519B6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адалимумаб</w:t>
      </w:r>
      <w:proofErr w:type="spellEnd"/>
      <w:r w:rsidRPr="001519B6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 может повлиять на иммунный ответ у новорожденных и повысить риск развития инфекции. Младенцам, подвергшимся воздействию </w:t>
      </w:r>
      <w:proofErr w:type="spellStart"/>
      <w:r w:rsidRPr="001519B6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адалимумаба</w:t>
      </w:r>
      <w:proofErr w:type="spellEnd"/>
      <w:r w:rsidRPr="001519B6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 внутриутробно, не рекомендуется введение живых вакцин в течение 5 месяцев после последней инъекции </w:t>
      </w:r>
      <w:proofErr w:type="spellStart"/>
      <w:r w:rsidRPr="001519B6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адалимумаба</w:t>
      </w:r>
      <w:proofErr w:type="spellEnd"/>
      <w:r w:rsidRPr="001519B6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 у матери во время беременности.</w:t>
      </w:r>
    </w:p>
    <w:p w14:paraId="1769F812" w14:textId="77777777" w:rsidR="004719FC" w:rsidRPr="00613D39" w:rsidRDefault="0027696B" w:rsidP="001519B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Ограниченные опубликованные данные указывают на то, что </w:t>
      </w:r>
      <w:proofErr w:type="spellStart"/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адалимумаб</w:t>
      </w:r>
      <w:proofErr w:type="spellEnd"/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 </w:t>
      </w:r>
      <w:proofErr w:type="spellStart"/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экскретируется</w:t>
      </w:r>
      <w:proofErr w:type="spellEnd"/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 в грудное молоко в очень низких концентрациях (с присутствием </w:t>
      </w:r>
      <w:proofErr w:type="spellStart"/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адалимумаба</w:t>
      </w:r>
      <w:proofErr w:type="spellEnd"/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 в материнском молоке в концентрациях от 0.1 до 1 % от уровня материнской сыворотки). Учитывая, что принятые перорально белки иммуноглобулина G подвергаются протеолизу в кишечнике и имеют плохую биодоступность, системные эффекты, связанные с </w:t>
      </w:r>
      <w:proofErr w:type="spellStart"/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адалимумабом</w:t>
      </w:r>
      <w:proofErr w:type="spellEnd"/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, у грудного ребенка маловероятны. Применять </w:t>
      </w:r>
      <w:r w:rsidR="003B6688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препарат </w:t>
      </w:r>
      <w:proofErr w:type="spellStart"/>
      <w:r w:rsidR="003B6688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Адалира</w:t>
      </w:r>
      <w:proofErr w:type="spellEnd"/>
      <w:r w:rsidRPr="00613D39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 xml:space="preserve"> следует только в том случае, когда предполагаемая польза для матери превосходит потенциальный риск для ребенка.</w:t>
      </w:r>
    </w:p>
    <w:p w14:paraId="575E8E59" w14:textId="77777777" w:rsidR="00BB0875" w:rsidRPr="00613D39" w:rsidRDefault="00314D9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Особенности влияния препарата на способность управлять </w:t>
      </w:r>
      <w:r w:rsidR="007369F3"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транспортным</w:t>
      </w:r>
      <w:r w:rsidRPr="00613D39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 средством или потенциально опасными механизмами</w:t>
      </w:r>
    </w:p>
    <w:p w14:paraId="6187D4EE" w14:textId="77777777" w:rsidR="007369F3" w:rsidRPr="007369F3" w:rsidRDefault="006A1A05" w:rsidP="007369F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Препарат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Адалира</w:t>
      </w:r>
      <w:proofErr w:type="spellEnd"/>
      <w:r w:rsidR="007369F3" w:rsidRPr="00613D3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может оказывать незначительное влияние на способность управлять транспортным средством или потенциально опасными механизмами. Применение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препарата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Адалира</w:t>
      </w:r>
      <w:proofErr w:type="spellEnd"/>
      <w:r w:rsidR="0030572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7369F3" w:rsidRPr="00613D3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может вызывать головокружение или нарушение остроты зрения.</w:t>
      </w:r>
    </w:p>
    <w:p w14:paraId="33009E2E" w14:textId="77777777" w:rsidR="00314D92" w:rsidRPr="004322E3" w:rsidRDefault="00314D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39C11DE2" w14:textId="77777777" w:rsidR="00DB406A" w:rsidRPr="004322E3" w:rsidRDefault="00DB40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22E3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40A43268" w14:textId="77777777" w:rsidR="0043541E" w:rsidRDefault="0031088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322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</w:p>
    <w:p w14:paraId="762E884F" w14:textId="77777777" w:rsidR="004A643E" w:rsidRPr="00855D01" w:rsidRDefault="004A643E" w:rsidP="004A6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u w:val="single"/>
          <w:lang w:eastAsia="ja-JP" w:bidi="bo-CN"/>
        </w:rPr>
      </w:pPr>
      <w:bookmarkStart w:id="1" w:name="2175220275"/>
      <w:r w:rsidRPr="00855D01">
        <w:rPr>
          <w:rFonts w:ascii="Times New Roman" w:eastAsia="MS Mincho" w:hAnsi="Times New Roman"/>
          <w:iCs/>
          <w:sz w:val="28"/>
          <w:szCs w:val="28"/>
          <w:u w:val="single"/>
          <w:lang w:eastAsia="ja-JP" w:bidi="bo-CN"/>
        </w:rPr>
        <w:t>Ревматоидный артрит</w:t>
      </w:r>
    </w:p>
    <w:p w14:paraId="7230384E" w14:textId="77777777" w:rsidR="00B47279" w:rsidRPr="00613D39" w:rsidRDefault="003E7D42" w:rsidP="00B47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>Рекомендованная</w:t>
      </w:r>
      <w:r w:rsidR="00B47279"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 доза </w:t>
      </w:r>
      <w:r w:rsidR="0073637F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препарата </w:t>
      </w:r>
      <w:proofErr w:type="spellStart"/>
      <w:r w:rsidR="0073637F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Адалира</w:t>
      </w:r>
      <w:proofErr w:type="spellEnd"/>
      <w:r w:rsidR="00B47279"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 для взрослых пациентов с ревматоидным артритом составляет 40 мг один раз в две недели, подкожно. Во время лечения </w:t>
      </w:r>
      <w:r w:rsidR="0073637F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препаратом </w:t>
      </w:r>
      <w:proofErr w:type="spellStart"/>
      <w:r w:rsidR="0073637F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Адалира</w:t>
      </w:r>
      <w:proofErr w:type="spellEnd"/>
      <w:r w:rsidR="00B47279"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 следует продолжать прием метотрексата. Можно продолжать применять глюкокортикоиды, салицилаты, нестероидные противовоспалительные препараты. В отношение применения </w:t>
      </w:r>
      <w:r w:rsidR="00DD06B0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препарата </w:t>
      </w:r>
      <w:proofErr w:type="spellStart"/>
      <w:r w:rsidR="00DD06B0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Адалира</w:t>
      </w:r>
      <w:proofErr w:type="spellEnd"/>
      <w:r w:rsidR="00B47279"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 с противоревматическими препаратами, модифицирующими заболевание (кроме метотрексата) смотреть информацию в разделе</w:t>
      </w:r>
      <w:r w:rsidR="00A92556" w:rsidRPr="00613D39">
        <w:rPr>
          <w:rFonts w:ascii="Times New Roman" w:eastAsia="MS Mincho" w:hAnsi="Times New Roman"/>
          <w:i/>
          <w:iCs/>
          <w:sz w:val="28"/>
          <w:szCs w:val="28"/>
          <w:lang w:eastAsia="ja-JP" w:bidi="bo-CN"/>
        </w:rPr>
        <w:t xml:space="preserve"> «Специальные предупреждения»</w:t>
      </w:r>
      <w:r w:rsidR="00B47279" w:rsidRPr="00613D39">
        <w:rPr>
          <w:rFonts w:ascii="Times New Roman" w:eastAsia="MS Mincho" w:hAnsi="Times New Roman"/>
          <w:i/>
          <w:iCs/>
          <w:sz w:val="28"/>
          <w:szCs w:val="28"/>
          <w:lang w:eastAsia="ja-JP" w:bidi="bo-CN"/>
        </w:rPr>
        <w:t>.</w:t>
      </w:r>
      <w:r w:rsidR="00B47279"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 При </w:t>
      </w:r>
      <w:proofErr w:type="spellStart"/>
      <w:r w:rsidR="00B47279"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монотерапии</w:t>
      </w:r>
      <w:proofErr w:type="spellEnd"/>
      <w:r w:rsidR="00B47279"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 </w:t>
      </w:r>
      <w:r w:rsidR="00DD06B0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препаратом </w:t>
      </w:r>
      <w:proofErr w:type="spellStart"/>
      <w:r w:rsidR="00DD06B0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Адалира</w:t>
      </w:r>
      <w:proofErr w:type="spellEnd"/>
      <w:r w:rsidR="00B47279"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 у некоторых пациентов, у которых наблюдается снижение ответа на </w:t>
      </w:r>
      <w:r w:rsidR="00137272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препарат </w:t>
      </w:r>
      <w:proofErr w:type="spellStart"/>
      <w:r w:rsidR="00137272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Адалира</w:t>
      </w:r>
      <w:proofErr w:type="spellEnd"/>
      <w:r w:rsidR="00B47279"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 в рекомендованной дозе, может быть оправданным увеличение частоты введения препарата до 40 мг один раз в неделю или до 80 мг один раз в две недели.</w:t>
      </w:r>
    </w:p>
    <w:p w14:paraId="3EED010C" w14:textId="77777777" w:rsidR="00855D01" w:rsidRPr="00613D39" w:rsidRDefault="00B47279" w:rsidP="004A6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Может возникнуть необходимость в прерывании приема </w:t>
      </w:r>
      <w:r w:rsidR="00CA3398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препарата</w:t>
      </w:r>
      <w:r w:rsidR="00C42A1D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 </w:t>
      </w:r>
      <w:proofErr w:type="spellStart"/>
      <w:r w:rsidR="00C42A1D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Адалира</w:t>
      </w:r>
      <w:proofErr w:type="spellEnd"/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, например, перед операцией или в случае серьезной инфекции. Имеющиеся данные свидетельствуют о том, что введение </w:t>
      </w:r>
      <w:proofErr w:type="spellStart"/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 в течение 70 дней или более после прекращения приема приводило к той же величине клинического ответа, и имело аналогичный профиль безопасности, что и до прекращения приема.</w:t>
      </w:r>
    </w:p>
    <w:p w14:paraId="254DF4D0" w14:textId="77777777" w:rsidR="004A643E" w:rsidRPr="00613D39" w:rsidRDefault="004A643E" w:rsidP="004A6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u w:val="single"/>
          <w:lang w:eastAsia="ja-JP" w:bidi="bo-CN"/>
        </w:rPr>
      </w:pPr>
      <w:proofErr w:type="spellStart"/>
      <w:r w:rsidRPr="00613D39">
        <w:rPr>
          <w:rFonts w:ascii="Times New Roman" w:eastAsia="MS Mincho" w:hAnsi="Times New Roman"/>
          <w:iCs/>
          <w:sz w:val="28"/>
          <w:szCs w:val="28"/>
          <w:u w:val="single"/>
          <w:lang w:eastAsia="ja-JP" w:bidi="bo-CN"/>
        </w:rPr>
        <w:t>Анкилозирующий</w:t>
      </w:r>
      <w:proofErr w:type="spellEnd"/>
      <w:r w:rsidRPr="00613D39">
        <w:rPr>
          <w:rFonts w:ascii="Times New Roman" w:eastAsia="MS Mincho" w:hAnsi="Times New Roman"/>
          <w:iCs/>
          <w:sz w:val="28"/>
          <w:szCs w:val="28"/>
          <w:u w:val="single"/>
          <w:lang w:eastAsia="ja-JP" w:bidi="bo-CN"/>
        </w:rPr>
        <w:t xml:space="preserve"> спондилит, аксиальный спондилоартрит без рентгенологически</w:t>
      </w:r>
      <w:r w:rsidR="00B32625" w:rsidRPr="00613D39">
        <w:rPr>
          <w:rFonts w:ascii="Times New Roman" w:eastAsia="MS Mincho" w:hAnsi="Times New Roman"/>
          <w:iCs/>
          <w:sz w:val="28"/>
          <w:szCs w:val="28"/>
          <w:u w:val="single"/>
          <w:lang w:eastAsia="ja-JP" w:bidi="bo-CN"/>
        </w:rPr>
        <w:t xml:space="preserve">х признаков АС и </w:t>
      </w:r>
      <w:proofErr w:type="spellStart"/>
      <w:r w:rsidR="00B32625" w:rsidRPr="00613D39">
        <w:rPr>
          <w:rFonts w:ascii="Times New Roman" w:eastAsia="MS Mincho" w:hAnsi="Times New Roman"/>
          <w:iCs/>
          <w:sz w:val="28"/>
          <w:szCs w:val="28"/>
          <w:u w:val="single"/>
          <w:lang w:eastAsia="ja-JP" w:bidi="bo-CN"/>
        </w:rPr>
        <w:t>псориатический</w:t>
      </w:r>
      <w:proofErr w:type="spellEnd"/>
      <w:r w:rsidR="00B32625" w:rsidRPr="00613D39">
        <w:rPr>
          <w:rFonts w:ascii="Times New Roman" w:eastAsia="MS Mincho" w:hAnsi="Times New Roman"/>
          <w:iCs/>
          <w:sz w:val="28"/>
          <w:szCs w:val="28"/>
          <w:u w:val="single"/>
          <w:lang w:eastAsia="ja-JP" w:bidi="bo-CN"/>
        </w:rPr>
        <w:t xml:space="preserve"> артрит</w:t>
      </w:r>
    </w:p>
    <w:p w14:paraId="3AB5A608" w14:textId="77777777" w:rsidR="0052647F" w:rsidRPr="00613D39" w:rsidRDefault="003E7D42" w:rsidP="0052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>Рекомендованная</w:t>
      </w:r>
      <w:r w:rsidR="0052647F"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 доза </w:t>
      </w:r>
      <w:r w:rsidR="00F75566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препарата </w:t>
      </w:r>
      <w:proofErr w:type="spellStart"/>
      <w:r w:rsidR="00F75566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Адалира</w:t>
      </w:r>
      <w:proofErr w:type="spellEnd"/>
      <w:r w:rsidR="0052647F"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 для взрослых пациентов составляет 40 мг один раз в 2 недели, подкожно.</w:t>
      </w:r>
    </w:p>
    <w:p w14:paraId="65AF4BE8" w14:textId="77777777" w:rsidR="00242877" w:rsidRPr="00613D39" w:rsidRDefault="006B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u w:val="single"/>
          <w:lang w:eastAsia="ja-JP" w:bidi="bo-CN"/>
        </w:rPr>
      </w:pPr>
      <w:proofErr w:type="spellStart"/>
      <w:r w:rsidRPr="00613D39">
        <w:rPr>
          <w:rFonts w:ascii="Times New Roman" w:eastAsia="MS Mincho" w:hAnsi="Times New Roman"/>
          <w:iCs/>
          <w:sz w:val="28"/>
          <w:szCs w:val="28"/>
          <w:u w:val="single"/>
          <w:lang w:eastAsia="ja-JP" w:bidi="bo-CN"/>
        </w:rPr>
        <w:t>Бляшечный</w:t>
      </w:r>
      <w:proofErr w:type="spellEnd"/>
      <w:r w:rsidRPr="00613D39">
        <w:rPr>
          <w:rFonts w:ascii="Times New Roman" w:eastAsia="MS Mincho" w:hAnsi="Times New Roman"/>
          <w:iCs/>
          <w:sz w:val="28"/>
          <w:szCs w:val="28"/>
          <w:u w:val="single"/>
          <w:lang w:eastAsia="ja-JP" w:bidi="bo-CN"/>
        </w:rPr>
        <w:t xml:space="preserve"> псориаз у взрослых</w:t>
      </w:r>
    </w:p>
    <w:p w14:paraId="10FFFCAB" w14:textId="77777777" w:rsidR="006B497C" w:rsidRPr="00613D39" w:rsidRDefault="006B497C" w:rsidP="006B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Рекомендованная начальная доза для взрослых пациентов составляет 80 мг, через одну неделю применяют 40 мг, подкожно. Поддерживающая терапия – 40 мг один раз в две недели.</w:t>
      </w:r>
    </w:p>
    <w:p w14:paraId="478CE97D" w14:textId="77777777" w:rsidR="006B497C" w:rsidRPr="00613D39" w:rsidRDefault="006B497C" w:rsidP="006B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Если через 16 недель терапии у пациента не наблюдается клинический ответ на терапию, то может быть увеличена частота применения препарата до 40 мг один раз в неделю или до 80 мг один раз в две недели. В течение данного периода следует проводить оценку пользы применения и риска возникновения нежелательных реакций. Если адекватный ответ достигается при приеме препарата в дозе 40 мг один раз в неделю или в дозе до 80 мг один раз в две недели, то впоследствии дозу можно снизить до 40 мг каждые две недели.</w:t>
      </w:r>
    </w:p>
    <w:p w14:paraId="03E63130" w14:textId="77777777" w:rsidR="00F86C63" w:rsidRPr="00613D39" w:rsidRDefault="008E6803" w:rsidP="00F86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u w:val="single"/>
          <w:lang w:eastAsia="ja-JP" w:bidi="bo-CN"/>
        </w:rPr>
      </w:pPr>
      <w:r w:rsidRPr="00613D39">
        <w:rPr>
          <w:rFonts w:ascii="Times New Roman" w:eastAsia="MS Mincho" w:hAnsi="Times New Roman"/>
          <w:iCs/>
          <w:sz w:val="28"/>
          <w:szCs w:val="28"/>
          <w:u w:val="single"/>
          <w:lang w:eastAsia="ja-JP" w:bidi="bo-CN"/>
        </w:rPr>
        <w:t>Гнойный гидраденит у взрослых</w:t>
      </w:r>
    </w:p>
    <w:p w14:paraId="30F9AA92" w14:textId="77777777" w:rsidR="00F86C63" w:rsidRPr="007069A2" w:rsidRDefault="00F86C63" w:rsidP="00F86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Рекомендованный режим дозирования </w:t>
      </w:r>
      <w:r w:rsidR="00E93AA2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препарата </w:t>
      </w:r>
      <w:proofErr w:type="spellStart"/>
      <w:r w:rsidR="00E93AA2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Адалира</w:t>
      </w:r>
      <w:proofErr w:type="spellEnd"/>
      <w:r w:rsidRPr="007069A2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 у взрослых пациентов с гнойным гидраденитом составляет начальную дозу 160 мг в </w:t>
      </w:r>
      <w:r w:rsidRPr="007069A2">
        <w:rPr>
          <w:rFonts w:ascii="Times New Roman" w:eastAsia="MS Mincho" w:hAnsi="Times New Roman"/>
          <w:iCs/>
          <w:sz w:val="28"/>
          <w:szCs w:val="28"/>
          <w:lang w:eastAsia="ja-JP" w:bidi="bo-CN"/>
        </w:rPr>
        <w:lastRenderedPageBreak/>
        <w:t xml:space="preserve">первый день (введение четырех инъекций по 40 мг в течение одних суток или двух инъекций по 40 мг в сутки в течение двух дней подряд) и затем на 15 день (через две недели) — 80 мг (введение двух инъекций по 40 мг в течение одних суток). Через две недели (день 29) продолжают введение дозы 40 мг один раз в неделю или 80 мг один раз в две недели. При необходимости, может быть продолжен прием антибиотиков во время лечения </w:t>
      </w:r>
      <w:r w:rsidR="00026ECF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препаратом </w:t>
      </w:r>
      <w:proofErr w:type="spellStart"/>
      <w:r w:rsidR="009F145D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Адалира</w:t>
      </w:r>
      <w:proofErr w:type="spellEnd"/>
      <w:r w:rsidRPr="007069A2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. </w:t>
      </w:r>
    </w:p>
    <w:p w14:paraId="75117C5A" w14:textId="77777777" w:rsidR="00F86C63" w:rsidRPr="007069A2" w:rsidRDefault="00F86C63" w:rsidP="00F86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lang w:eastAsia="ja-JP" w:bidi="bo-CN"/>
        </w:rPr>
      </w:pPr>
      <w:r w:rsidRPr="007069A2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Пациенту необходимо рекомендовать ежедневно обрабатывать поражения гнойного гидраденита с помощью местных антисептических средств во время лечения </w:t>
      </w:r>
      <w:r w:rsidR="009F145D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препаратом </w:t>
      </w:r>
      <w:proofErr w:type="spellStart"/>
      <w:r w:rsidR="009F145D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Адалира</w:t>
      </w:r>
      <w:proofErr w:type="spellEnd"/>
      <w:r w:rsidRPr="007069A2">
        <w:rPr>
          <w:rFonts w:ascii="Times New Roman" w:eastAsia="MS Mincho" w:hAnsi="Times New Roman"/>
          <w:iCs/>
          <w:sz w:val="28"/>
          <w:szCs w:val="28"/>
          <w:lang w:eastAsia="ja-JP" w:bidi="bo-CN"/>
        </w:rPr>
        <w:t>.</w:t>
      </w:r>
    </w:p>
    <w:p w14:paraId="3ADC7651" w14:textId="77777777" w:rsidR="00F86C63" w:rsidRPr="00613D39" w:rsidRDefault="00F86C63" w:rsidP="00F86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lang w:eastAsia="ja-JP" w:bidi="bo-CN"/>
        </w:rPr>
      </w:pPr>
      <w:r w:rsidRPr="007069A2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При необходимости временного прекращения лечения, прием препарата </w:t>
      </w:r>
      <w:proofErr w:type="spellStart"/>
      <w:r w:rsidR="00650E43" w:rsidRPr="007069A2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Адалира</w:t>
      </w:r>
      <w:proofErr w:type="spellEnd"/>
      <w:r w:rsidRPr="007069A2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 40 мг один раз в неделю или 80 мг один раз в две недели может быть возобновлен.</w:t>
      </w:r>
    </w:p>
    <w:p w14:paraId="36B3D160" w14:textId="77777777" w:rsidR="008C0681" w:rsidRPr="00613D39" w:rsidRDefault="008C0681" w:rsidP="008C0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u w:val="single"/>
          <w:lang w:eastAsia="ja-JP" w:bidi="bo-CN"/>
        </w:rPr>
      </w:pPr>
      <w:r w:rsidRPr="00613D39">
        <w:rPr>
          <w:rFonts w:ascii="Times New Roman" w:eastAsia="MS Mincho" w:hAnsi="Times New Roman"/>
          <w:iCs/>
          <w:sz w:val="28"/>
          <w:szCs w:val="28"/>
          <w:u w:val="single"/>
          <w:lang w:eastAsia="ja-JP" w:bidi="bo-CN"/>
        </w:rPr>
        <w:t>Болезнь Крона у взрослых</w:t>
      </w:r>
    </w:p>
    <w:p w14:paraId="2B742273" w14:textId="77777777" w:rsidR="00A22114" w:rsidRPr="00A22114" w:rsidRDefault="008C0681" w:rsidP="00A2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Для индукции ремиссии у взрослых пациентов с болезнью Крона </w:t>
      </w:r>
      <w:r w:rsidRPr="00613D39">
        <w:rPr>
          <w:rFonts w:ascii="Times New Roman" w:eastAsia="MS Mincho" w:hAnsi="Times New Roman"/>
          <w:iCs/>
          <w:sz w:val="28"/>
          <w:szCs w:val="28"/>
          <w:lang w:eastAsia="ja-JP" w:bidi="ru-RU"/>
        </w:rPr>
        <w:t xml:space="preserve">средней и высокой степени активности </w:t>
      </w:r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>рекомендованная начальная доза составляет 80 мг (день 1), с последующим уменьшением дозы до 40 мг через две недели (день 15), подкожно. Если необходимо получить более быстрый клинический ответ первоначально применяют 160 мг в день 1 (вводится как четыре инъекции по 40 мг за один день или как две инъекции по 40 мг в течение двух дней подряд), после чего через две недели (день 15) применяют дозу 80 мг (вводится как две инъекции по 40 мг в один день), подкожно, учитывая, что риск нежелательных реакций выше во время индукции.</w:t>
      </w:r>
      <w:r w:rsidR="00A22114" w:rsidRPr="00A22114">
        <w:rPr>
          <w:rFonts w:ascii="Times New Roman" w:eastAsia="MS Mincho" w:hAnsi="Times New Roman"/>
          <w:sz w:val="24"/>
          <w:szCs w:val="24"/>
          <w:lang w:eastAsia="ja-JP" w:bidi="bo-CN"/>
        </w:rPr>
        <w:t xml:space="preserve"> </w:t>
      </w:r>
    </w:p>
    <w:p w14:paraId="215A4FB3" w14:textId="77777777" w:rsidR="008C0681" w:rsidRPr="00613D39" w:rsidRDefault="008C0681" w:rsidP="008C0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После индукционного лечения поддерживающая доза составляет 40 мг один раз в две недели, подкожно. Если пациент прекратил прием </w:t>
      </w:r>
      <w:r w:rsidR="00A9628B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препарата </w:t>
      </w:r>
      <w:proofErr w:type="spellStart"/>
      <w:r w:rsidR="00A9628B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Адалира</w:t>
      </w:r>
      <w:proofErr w:type="spellEnd"/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, и признаки и симптомы заболевания возвращаются, то можно повторно назначить </w:t>
      </w:r>
      <w:r w:rsidR="00A9628B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препарат</w:t>
      </w:r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. </w:t>
      </w:r>
    </w:p>
    <w:p w14:paraId="20B0492A" w14:textId="77777777" w:rsidR="008C0681" w:rsidRPr="00613D39" w:rsidRDefault="008C0681" w:rsidP="008C0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В течение поддерживающей терапии доза кортикостероидов может быть уменьшена, исходя из клинической практики.</w:t>
      </w:r>
    </w:p>
    <w:p w14:paraId="25F3A082" w14:textId="77777777" w:rsidR="008C0681" w:rsidRDefault="008C0681" w:rsidP="00B54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При уменьшении клинического ответа некоторые пациенты могут нуждаться в увеличении частоты введения препарата</w:t>
      </w:r>
      <w:r w:rsidR="003D0830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 </w:t>
      </w:r>
      <w:proofErr w:type="spellStart"/>
      <w:r w:rsidR="003D0830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Адалира</w:t>
      </w:r>
      <w:proofErr w:type="spellEnd"/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 до 40 мг один раз в неделю или до 80 мг один раз в две недели.</w:t>
      </w:r>
    </w:p>
    <w:p w14:paraId="0E616350" w14:textId="77777777" w:rsidR="00F04E3A" w:rsidRPr="00613D39" w:rsidRDefault="00F04E3A" w:rsidP="00F04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u w:val="single"/>
          <w:lang w:eastAsia="ja-JP" w:bidi="bo-CN"/>
        </w:rPr>
      </w:pPr>
      <w:r w:rsidRPr="00613D39">
        <w:rPr>
          <w:rFonts w:ascii="Times New Roman" w:eastAsia="MS Mincho" w:hAnsi="Times New Roman"/>
          <w:iCs/>
          <w:sz w:val="28"/>
          <w:szCs w:val="28"/>
          <w:u w:val="single"/>
          <w:lang w:eastAsia="ja-JP" w:bidi="bo-CN"/>
        </w:rPr>
        <w:t>Язвенный колит у взрослых</w:t>
      </w:r>
    </w:p>
    <w:p w14:paraId="492B9D7F" w14:textId="77777777" w:rsidR="00F04E3A" w:rsidRPr="00613D39" w:rsidRDefault="00F04E3A" w:rsidP="00F04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Рекомендованная начальная </w:t>
      </w:r>
      <w:r w:rsidR="00A61055"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(индукционная) </w:t>
      </w: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доза для взрослых пациентов с язвенным колитом средней и тяжелой степени активности составляет 160 мг на неделе 0 (доза может быть введена в виде 4 инъекций в один день или по 2 инъекции в день в течение двух дней подряд) и 80 мг через две недели (неделя 2). </w:t>
      </w:r>
      <w:r w:rsidR="003720A5"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После индукционной дозы рекомендуемая поддерживающая доза составляет 40 мг один раз в две недели, подкожно.</w:t>
      </w:r>
    </w:p>
    <w:p w14:paraId="2945FC23" w14:textId="77777777" w:rsidR="00F04E3A" w:rsidRPr="00613D39" w:rsidRDefault="00F04E3A" w:rsidP="00F04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Во время поддерживающей терапии доза кортикостероидов может быть уменьшена, исходя из клинической практики.</w:t>
      </w:r>
    </w:p>
    <w:p w14:paraId="7CE68CE0" w14:textId="77777777" w:rsidR="00F04E3A" w:rsidRDefault="00F04E3A" w:rsidP="00F04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При уменьшении клинического ответа некоторые пациенты могут нуждаться в увеличении частоты введения препарата </w:t>
      </w:r>
      <w:proofErr w:type="spellStart"/>
      <w:r w:rsidR="00DE4F51">
        <w:rPr>
          <w:rFonts w:ascii="Times New Roman" w:eastAsia="MS Mincho" w:hAnsi="Times New Roman"/>
          <w:sz w:val="28"/>
          <w:szCs w:val="28"/>
          <w:lang w:eastAsia="ja-JP" w:bidi="bo-CN"/>
        </w:rPr>
        <w:t>Адалира</w:t>
      </w:r>
      <w:proofErr w:type="spellEnd"/>
      <w:r w:rsidR="00DE4F51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</w:t>
      </w: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до 40 мг один раз в неделю или до 80 мг один раз в две недели.</w:t>
      </w:r>
    </w:p>
    <w:p w14:paraId="33B75620" w14:textId="77777777" w:rsidR="001966EA" w:rsidRPr="00613D39" w:rsidRDefault="001966EA" w:rsidP="0019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u w:val="single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u w:val="single"/>
          <w:lang w:eastAsia="ja-JP" w:bidi="bo-CN"/>
        </w:rPr>
        <w:lastRenderedPageBreak/>
        <w:t>Увеит у взрослых</w:t>
      </w:r>
    </w:p>
    <w:p w14:paraId="1B6FE112" w14:textId="77777777" w:rsidR="001966EA" w:rsidRDefault="0019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Реко</w:t>
      </w:r>
      <w:r w:rsidR="0047495E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мендуемый режим дозирования препарата </w:t>
      </w:r>
      <w:proofErr w:type="spellStart"/>
      <w:r w:rsidR="0047495E">
        <w:rPr>
          <w:rFonts w:ascii="Times New Roman" w:eastAsia="MS Mincho" w:hAnsi="Times New Roman"/>
          <w:sz w:val="28"/>
          <w:szCs w:val="28"/>
          <w:lang w:eastAsia="ja-JP" w:bidi="bo-CN"/>
        </w:rPr>
        <w:t>Адалира</w:t>
      </w:r>
      <w:proofErr w:type="spellEnd"/>
      <w:r w:rsidR="0047495E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</w:t>
      </w: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у взрослых пациентов с увеитом включает начальную дозу 80 мг, затем по 40 мг один раз в две недели, начиная со следующей недели после применения начальной дозы. Опыт начала лечения только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адалимумабом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ограничен. Лечение</w:t>
      </w:r>
      <w:r w:rsidR="008E77D5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препаратом </w:t>
      </w:r>
      <w:proofErr w:type="spellStart"/>
      <w:r w:rsidR="008E77D5">
        <w:rPr>
          <w:rFonts w:ascii="Times New Roman" w:eastAsia="MS Mincho" w:hAnsi="Times New Roman"/>
          <w:sz w:val="28"/>
          <w:szCs w:val="28"/>
          <w:lang w:eastAsia="ja-JP" w:bidi="bo-CN"/>
        </w:rPr>
        <w:t>Адалира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может быть начато в комбинации с кортикостероидами и/или с другими небиологическими иммуномодулирующими средствами. Доза кортикостероидов может быть уменьшена, исходя из клинической практики, начиная с двух недель пос</w:t>
      </w:r>
      <w:r w:rsidR="00F31F01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ле начала лечения </w:t>
      </w:r>
      <w:r w:rsidR="008E77D5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препаратом </w:t>
      </w:r>
      <w:proofErr w:type="spellStart"/>
      <w:r w:rsidR="008E77D5">
        <w:rPr>
          <w:rFonts w:ascii="Times New Roman" w:eastAsia="MS Mincho" w:hAnsi="Times New Roman"/>
          <w:sz w:val="28"/>
          <w:szCs w:val="28"/>
          <w:lang w:eastAsia="ja-JP" w:bidi="bo-CN"/>
        </w:rPr>
        <w:t>Адалира</w:t>
      </w:r>
      <w:proofErr w:type="spellEnd"/>
      <w:r w:rsidR="00F31F01">
        <w:rPr>
          <w:rFonts w:ascii="Times New Roman" w:eastAsia="MS Mincho" w:hAnsi="Times New Roman"/>
          <w:sz w:val="28"/>
          <w:szCs w:val="28"/>
          <w:lang w:eastAsia="ja-JP" w:bidi="bo-CN"/>
        </w:rPr>
        <w:t>.</w:t>
      </w:r>
    </w:p>
    <w:p w14:paraId="2E1A220B" w14:textId="77777777" w:rsidR="00F31F01" w:rsidRPr="00F31F01" w:rsidRDefault="00F31F01" w:rsidP="00F3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u w:val="single"/>
          <w:lang w:eastAsia="ja-JP" w:bidi="bo-CN"/>
        </w:rPr>
      </w:pPr>
      <w:r w:rsidRPr="00F31F01">
        <w:rPr>
          <w:rFonts w:ascii="Times New Roman" w:eastAsia="MS Mincho" w:hAnsi="Times New Roman"/>
          <w:sz w:val="28"/>
          <w:szCs w:val="28"/>
          <w:u w:val="single"/>
          <w:lang w:eastAsia="ja-JP" w:bidi="bo-CN"/>
        </w:rPr>
        <w:t xml:space="preserve">Болезнь </w:t>
      </w:r>
      <w:proofErr w:type="spellStart"/>
      <w:r w:rsidRPr="00F31F01">
        <w:rPr>
          <w:rFonts w:ascii="Times New Roman" w:eastAsia="MS Mincho" w:hAnsi="Times New Roman"/>
          <w:sz w:val="28"/>
          <w:szCs w:val="28"/>
          <w:u w:val="single"/>
          <w:lang w:eastAsia="ja-JP" w:bidi="bo-CN"/>
        </w:rPr>
        <w:t>Бехчета</w:t>
      </w:r>
      <w:proofErr w:type="spellEnd"/>
    </w:p>
    <w:p w14:paraId="3B98C3CF" w14:textId="77777777" w:rsidR="00F31F01" w:rsidRPr="00613D39" w:rsidRDefault="00F3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F31F01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Начальная доза </w:t>
      </w:r>
      <w:r w:rsidR="00A024B0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препарата </w:t>
      </w:r>
      <w:proofErr w:type="spellStart"/>
      <w:r w:rsidR="00A024B0">
        <w:rPr>
          <w:rFonts w:ascii="Times New Roman" w:eastAsia="MS Mincho" w:hAnsi="Times New Roman"/>
          <w:sz w:val="28"/>
          <w:szCs w:val="28"/>
          <w:lang w:eastAsia="ja-JP" w:bidi="bo-CN"/>
        </w:rPr>
        <w:t>Адалира</w:t>
      </w:r>
      <w:proofErr w:type="spellEnd"/>
      <w:r w:rsidRPr="00F31F01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у взрослых составляет 160 мг. Далее через 2 недели следует снизить до 80 мг. Через 4 недели после начала терапии следует перейти на поддерживающую терапию 40 мг 1 раз в 2 недели.</w:t>
      </w:r>
    </w:p>
    <w:p w14:paraId="6E9C9E6F" w14:textId="77777777" w:rsidR="00A82926" w:rsidRPr="00613D39" w:rsidRDefault="0047360D" w:rsidP="00E1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/>
          <w:sz w:val="28"/>
          <w:szCs w:val="28"/>
          <w:lang w:eastAsia="ja-JP" w:bidi="bo-CN"/>
        </w:rPr>
      </w:pPr>
      <w:r>
        <w:rPr>
          <w:rFonts w:ascii="Times New Roman" w:eastAsia="MS Mincho" w:hAnsi="Times New Roman"/>
          <w:i/>
          <w:sz w:val="28"/>
          <w:szCs w:val="28"/>
          <w:lang w:eastAsia="ja-JP" w:bidi="bo-CN"/>
        </w:rPr>
        <w:t xml:space="preserve">В педиатрии </w:t>
      </w:r>
    </w:p>
    <w:p w14:paraId="0976F80C" w14:textId="77777777" w:rsidR="00635899" w:rsidRPr="00613D39" w:rsidRDefault="00635899" w:rsidP="0063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u w:val="single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u w:val="single"/>
          <w:lang w:eastAsia="ja-JP" w:bidi="bo-CN"/>
        </w:rPr>
        <w:t xml:space="preserve">Ювенильный </w:t>
      </w:r>
      <w:r w:rsidR="00ED54C2" w:rsidRPr="00613D39">
        <w:rPr>
          <w:rFonts w:ascii="Times New Roman" w:eastAsia="MS Mincho" w:hAnsi="Times New Roman"/>
          <w:sz w:val="28"/>
          <w:szCs w:val="28"/>
          <w:u w:val="single"/>
          <w:lang w:eastAsia="ja-JP" w:bidi="bo-CN"/>
        </w:rPr>
        <w:t>ревматоидный</w:t>
      </w:r>
      <w:r w:rsidRPr="00613D39">
        <w:rPr>
          <w:rFonts w:ascii="Times New Roman" w:eastAsia="MS Mincho" w:hAnsi="Times New Roman"/>
          <w:sz w:val="28"/>
          <w:szCs w:val="28"/>
          <w:u w:val="single"/>
          <w:lang w:eastAsia="ja-JP" w:bidi="bo-CN"/>
        </w:rPr>
        <w:t xml:space="preserve"> артрит </w:t>
      </w:r>
    </w:p>
    <w:p w14:paraId="3416913E" w14:textId="77777777" w:rsidR="00635899" w:rsidRPr="00613D39" w:rsidRDefault="00635899" w:rsidP="00635899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613D39">
        <w:rPr>
          <w:rFonts w:ascii="Times New Roman" w:hAnsi="Times New Roman"/>
          <w:i/>
          <w:iCs/>
          <w:sz w:val="28"/>
          <w:szCs w:val="28"/>
        </w:rPr>
        <w:t>Полиартикулярный</w:t>
      </w:r>
      <w:proofErr w:type="spellEnd"/>
      <w:r w:rsidRPr="00613D39">
        <w:rPr>
          <w:rFonts w:ascii="Times New Roman" w:hAnsi="Times New Roman"/>
          <w:i/>
          <w:iCs/>
          <w:sz w:val="28"/>
          <w:szCs w:val="28"/>
        </w:rPr>
        <w:t xml:space="preserve"> юношеский идиопатический артрит</w:t>
      </w:r>
    </w:p>
    <w:p w14:paraId="60CEC9CB" w14:textId="77777777" w:rsidR="00635899" w:rsidRPr="00613D39" w:rsidRDefault="00635899" w:rsidP="006358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3D39">
        <w:rPr>
          <w:rFonts w:ascii="Times New Roman" w:eastAsia="Times New Roman" w:hAnsi="Times New Roman"/>
          <w:sz w:val="28"/>
          <w:szCs w:val="28"/>
        </w:rPr>
        <w:t xml:space="preserve">Рекомендуемая доза </w:t>
      </w:r>
      <w:r w:rsidR="00C45CBB">
        <w:rPr>
          <w:rFonts w:ascii="Times New Roman" w:eastAsia="Times New Roman" w:hAnsi="Times New Roman"/>
          <w:sz w:val="28"/>
          <w:szCs w:val="28"/>
        </w:rPr>
        <w:t xml:space="preserve">препарата </w:t>
      </w:r>
      <w:proofErr w:type="spellStart"/>
      <w:r w:rsidR="00C45CBB">
        <w:rPr>
          <w:rFonts w:ascii="Times New Roman" w:eastAsia="Times New Roman" w:hAnsi="Times New Roman"/>
          <w:sz w:val="28"/>
          <w:szCs w:val="28"/>
        </w:rPr>
        <w:t>Адалира</w:t>
      </w:r>
      <w:proofErr w:type="spellEnd"/>
      <w:r w:rsidR="00127DCE" w:rsidRPr="00613D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13D39">
        <w:rPr>
          <w:rFonts w:ascii="Times New Roman" w:eastAsia="Times New Roman" w:hAnsi="Times New Roman"/>
          <w:sz w:val="28"/>
          <w:szCs w:val="28"/>
        </w:rPr>
        <w:t xml:space="preserve">для детей от 2 лет и старше определяется исходя из массы тела пациента (таблица 1). </w:t>
      </w:r>
      <w:proofErr w:type="spellStart"/>
      <w:r w:rsidR="00C45CBB">
        <w:rPr>
          <w:rFonts w:ascii="Times New Roman" w:eastAsia="Times New Roman" w:hAnsi="Times New Roman"/>
          <w:sz w:val="28"/>
          <w:szCs w:val="28"/>
        </w:rPr>
        <w:t>Адалира</w:t>
      </w:r>
      <w:proofErr w:type="spellEnd"/>
      <w:r w:rsidR="00C45CB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13D39">
        <w:rPr>
          <w:rFonts w:ascii="Times New Roman" w:eastAsia="Times New Roman" w:hAnsi="Times New Roman"/>
          <w:sz w:val="28"/>
          <w:szCs w:val="28"/>
        </w:rPr>
        <w:t>вводится подкожно, каждые две недели.</w:t>
      </w:r>
    </w:p>
    <w:p w14:paraId="78205B84" w14:textId="77777777" w:rsidR="00635899" w:rsidRPr="00613D39" w:rsidRDefault="00635899" w:rsidP="006358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3D39">
        <w:rPr>
          <w:rFonts w:ascii="Times New Roman" w:eastAsia="Times New Roman" w:hAnsi="Times New Roman"/>
          <w:sz w:val="28"/>
          <w:szCs w:val="28"/>
        </w:rPr>
        <w:t xml:space="preserve">Таблица 1. Определение дозы препарата </w:t>
      </w:r>
      <w:proofErr w:type="spellStart"/>
      <w:r w:rsidR="00650E43">
        <w:rPr>
          <w:rFonts w:ascii="Times New Roman" w:eastAsia="Times New Roman" w:hAnsi="Times New Roman"/>
          <w:sz w:val="28"/>
          <w:szCs w:val="28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</w:rPr>
        <w:t xml:space="preserve"> для пациентов с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</w:rPr>
        <w:t>полиартикулярным</w:t>
      </w:r>
      <w:proofErr w:type="spellEnd"/>
      <w:r w:rsidRPr="00613D39">
        <w:rPr>
          <w:rFonts w:ascii="Times New Roman" w:eastAsia="Times New Roman" w:hAnsi="Times New Roman"/>
          <w:sz w:val="28"/>
          <w:szCs w:val="28"/>
        </w:rPr>
        <w:t xml:space="preserve"> ювенильным идиопатическим артритом</w:t>
      </w:r>
    </w:p>
    <w:tbl>
      <w:tblPr>
        <w:tblW w:w="9116" w:type="dxa"/>
        <w:jc w:val="center"/>
        <w:tblLook w:val="0000" w:firstRow="0" w:lastRow="0" w:firstColumn="0" w:lastColumn="0" w:noHBand="0" w:noVBand="0"/>
      </w:tblPr>
      <w:tblGrid>
        <w:gridCol w:w="4459"/>
        <w:gridCol w:w="4657"/>
      </w:tblGrid>
      <w:tr w:rsidR="00635899" w:rsidRPr="00613D39" w14:paraId="5414AE5B" w14:textId="77777777" w:rsidTr="00E57760">
        <w:trPr>
          <w:trHeight w:val="178"/>
          <w:tblHeader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D0F1" w14:textId="77777777" w:rsidR="00635899" w:rsidRPr="00613D39" w:rsidRDefault="00074281" w:rsidP="0063589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613D39">
              <w:rPr>
                <w:rFonts w:ascii="Times New Roman" w:hAnsi="Times New Roman"/>
                <w:sz w:val="28"/>
                <w:szCs w:val="28"/>
                <w:lang w:eastAsia="ja-JP"/>
              </w:rPr>
              <w:t>Масса тела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55EF" w14:textId="77777777" w:rsidR="00635899" w:rsidRPr="00613D39" w:rsidRDefault="00074281" w:rsidP="0063589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613D39">
              <w:rPr>
                <w:rFonts w:ascii="Times New Roman" w:hAnsi="Times New Roman"/>
                <w:sz w:val="28"/>
                <w:szCs w:val="28"/>
                <w:lang w:eastAsia="ja-JP"/>
              </w:rPr>
              <w:t>Рекомендованная доза</w:t>
            </w:r>
          </w:p>
        </w:tc>
      </w:tr>
      <w:tr w:rsidR="00635899" w:rsidRPr="00613D39" w14:paraId="7060A794" w14:textId="77777777" w:rsidTr="00E57760">
        <w:trPr>
          <w:trHeight w:val="97"/>
          <w:tblHeader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AEB4" w14:textId="77777777" w:rsidR="00635899" w:rsidRPr="00613D39" w:rsidRDefault="00635899" w:rsidP="0063589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613D39">
              <w:rPr>
                <w:rFonts w:ascii="Times New Roman" w:hAnsi="Times New Roman"/>
                <w:sz w:val="28"/>
                <w:szCs w:val="28"/>
                <w:lang w:eastAsia="ja-JP"/>
              </w:rPr>
              <w:t>От 10 кг до &lt;30 кг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FA77" w14:textId="77777777" w:rsidR="00635899" w:rsidRPr="00613D39" w:rsidRDefault="00635899" w:rsidP="0063589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613D39">
              <w:rPr>
                <w:rFonts w:ascii="Times New Roman" w:hAnsi="Times New Roman"/>
                <w:sz w:val="28"/>
                <w:szCs w:val="28"/>
                <w:lang w:eastAsia="ja-JP"/>
              </w:rPr>
              <w:t>20 мг один раз в две недели</w:t>
            </w:r>
          </w:p>
        </w:tc>
      </w:tr>
      <w:tr w:rsidR="00635899" w:rsidRPr="00613D39" w14:paraId="343E22F0" w14:textId="77777777" w:rsidTr="00E57760">
        <w:trPr>
          <w:trHeight w:val="230"/>
          <w:tblHeader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DED0" w14:textId="77777777" w:rsidR="00635899" w:rsidRPr="00613D39" w:rsidRDefault="00635899" w:rsidP="0063589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613D39">
              <w:rPr>
                <w:rFonts w:ascii="Times New Roman" w:hAnsi="Times New Roman"/>
                <w:sz w:val="28"/>
                <w:szCs w:val="28"/>
                <w:lang w:eastAsia="ja-JP"/>
              </w:rPr>
              <w:t>≥ 30 кг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9C0" w14:textId="77777777" w:rsidR="00635899" w:rsidRPr="00613D39" w:rsidRDefault="00635899" w:rsidP="0063589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613D39">
              <w:rPr>
                <w:rFonts w:ascii="Times New Roman" w:hAnsi="Times New Roman"/>
                <w:sz w:val="28"/>
                <w:szCs w:val="28"/>
                <w:lang w:eastAsia="ja-JP"/>
              </w:rPr>
              <w:t>40 мг один раз в две недели</w:t>
            </w:r>
          </w:p>
        </w:tc>
      </w:tr>
    </w:tbl>
    <w:p w14:paraId="4ECF1226" w14:textId="77777777" w:rsidR="00635899" w:rsidRPr="00613D39" w:rsidRDefault="00635899" w:rsidP="00635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F82826" w14:textId="77777777" w:rsidR="00635899" w:rsidRPr="00613D39" w:rsidRDefault="00635899" w:rsidP="006358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3D39">
        <w:rPr>
          <w:rFonts w:ascii="Times New Roman" w:eastAsia="Times New Roman" w:hAnsi="Times New Roman"/>
          <w:sz w:val="28"/>
          <w:szCs w:val="28"/>
        </w:rPr>
        <w:t xml:space="preserve">Применение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</w:rPr>
        <w:t>адалимумаба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</w:rPr>
        <w:t xml:space="preserve"> у детей в возрасте до 2 лет по данному показанию не изучалось.</w:t>
      </w:r>
    </w:p>
    <w:p w14:paraId="63292CAB" w14:textId="77777777" w:rsidR="006F2BE6" w:rsidRPr="00613D39" w:rsidRDefault="006F2BE6" w:rsidP="006F2BE6">
      <w:pPr>
        <w:spacing w:after="0" w:line="240" w:lineRule="auto"/>
        <w:jc w:val="both"/>
        <w:rPr>
          <w:rFonts w:ascii="Times New Roman" w:eastAsia="MS Mincho" w:hAnsi="Times New Roman"/>
          <w:i/>
          <w:sz w:val="28"/>
          <w:szCs w:val="28"/>
          <w:lang w:eastAsia="ja-JP" w:bidi="bo-CN"/>
        </w:rPr>
      </w:pPr>
      <w:proofErr w:type="spellStart"/>
      <w:r w:rsidRPr="00613D39">
        <w:rPr>
          <w:rFonts w:ascii="Times New Roman" w:hAnsi="Times New Roman"/>
          <w:i/>
          <w:sz w:val="28"/>
          <w:szCs w:val="28"/>
        </w:rPr>
        <w:t>Энтезит</w:t>
      </w:r>
      <w:proofErr w:type="spellEnd"/>
      <w:r w:rsidRPr="00613D39">
        <w:rPr>
          <w:rFonts w:ascii="Times New Roman" w:hAnsi="Times New Roman"/>
          <w:i/>
          <w:sz w:val="28"/>
          <w:szCs w:val="28"/>
        </w:rPr>
        <w:t>-ассоциированный артрит</w:t>
      </w:r>
      <w:r w:rsidRPr="00613D39" w:rsidDel="008811AB">
        <w:rPr>
          <w:rFonts w:ascii="Times New Roman" w:eastAsia="MS Mincho" w:hAnsi="Times New Roman"/>
          <w:i/>
          <w:sz w:val="28"/>
          <w:szCs w:val="28"/>
          <w:lang w:eastAsia="ja-JP" w:bidi="bo-CN"/>
        </w:rPr>
        <w:t xml:space="preserve"> </w:t>
      </w:r>
    </w:p>
    <w:p w14:paraId="3DA3877E" w14:textId="77777777" w:rsidR="006F2BE6" w:rsidRPr="00613D39" w:rsidRDefault="006F2BE6" w:rsidP="006F2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3D39">
        <w:rPr>
          <w:rFonts w:ascii="Times New Roman" w:eastAsia="Times New Roman" w:hAnsi="Times New Roman"/>
          <w:sz w:val="28"/>
          <w:szCs w:val="28"/>
        </w:rPr>
        <w:t xml:space="preserve">Рекомендуемая доза </w:t>
      </w:r>
      <w:r w:rsidR="0078380A">
        <w:rPr>
          <w:rFonts w:ascii="Times New Roman" w:eastAsia="Times New Roman" w:hAnsi="Times New Roman"/>
          <w:sz w:val="28"/>
          <w:szCs w:val="28"/>
        </w:rPr>
        <w:t xml:space="preserve">препарата </w:t>
      </w:r>
      <w:proofErr w:type="spellStart"/>
      <w:r w:rsidR="0078380A">
        <w:rPr>
          <w:rFonts w:ascii="Times New Roman" w:eastAsia="Times New Roman" w:hAnsi="Times New Roman"/>
          <w:sz w:val="28"/>
          <w:szCs w:val="28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</w:rPr>
        <w:t xml:space="preserve"> для пациентов от 6 лет и старше с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</w:rPr>
        <w:t>энтезит</w:t>
      </w:r>
      <w:proofErr w:type="spellEnd"/>
      <w:r w:rsidRPr="00613D39">
        <w:rPr>
          <w:rFonts w:ascii="Times New Roman" w:eastAsia="Times New Roman" w:hAnsi="Times New Roman"/>
          <w:sz w:val="28"/>
          <w:szCs w:val="28"/>
        </w:rPr>
        <w:t xml:space="preserve">-ассоциированным артритом определяется исходя из массы тела пациента (таблица 2).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</w:rPr>
        <w:t>Адали</w:t>
      </w:r>
      <w:r w:rsidR="0078380A">
        <w:rPr>
          <w:rFonts w:ascii="Times New Roman" w:eastAsia="Times New Roman" w:hAnsi="Times New Roman"/>
          <w:sz w:val="28"/>
          <w:szCs w:val="28"/>
        </w:rPr>
        <w:t>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</w:rPr>
        <w:t xml:space="preserve"> вводится подкожно, каждые две недели.</w:t>
      </w:r>
    </w:p>
    <w:p w14:paraId="4591D1C7" w14:textId="77777777" w:rsidR="006F2BE6" w:rsidRPr="00613D39" w:rsidRDefault="006F2BE6" w:rsidP="006F2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D39">
        <w:rPr>
          <w:rFonts w:ascii="Times New Roman" w:hAnsi="Times New Roman"/>
          <w:sz w:val="28"/>
          <w:szCs w:val="28"/>
        </w:rPr>
        <w:t xml:space="preserve">Таблица 2. Определение дозы препарата </w:t>
      </w:r>
      <w:proofErr w:type="spellStart"/>
      <w:r w:rsidRPr="00613D39">
        <w:rPr>
          <w:rFonts w:ascii="Times New Roman" w:hAnsi="Times New Roman"/>
          <w:sz w:val="28"/>
          <w:szCs w:val="28"/>
        </w:rPr>
        <w:t>Ада</w:t>
      </w:r>
      <w:r w:rsidR="00650E43">
        <w:rPr>
          <w:rFonts w:ascii="Times New Roman" w:hAnsi="Times New Roman"/>
          <w:sz w:val="28"/>
          <w:szCs w:val="28"/>
        </w:rPr>
        <w:t>лира</w:t>
      </w:r>
      <w:proofErr w:type="spellEnd"/>
      <w:r w:rsidRPr="00613D39">
        <w:rPr>
          <w:rFonts w:ascii="Times New Roman" w:hAnsi="Times New Roman"/>
          <w:sz w:val="28"/>
          <w:szCs w:val="28"/>
        </w:rPr>
        <w:t xml:space="preserve"> для пациентов с </w:t>
      </w:r>
      <w:proofErr w:type="spellStart"/>
      <w:r w:rsidRPr="00613D39">
        <w:rPr>
          <w:rFonts w:ascii="Times New Roman" w:hAnsi="Times New Roman"/>
          <w:sz w:val="28"/>
          <w:szCs w:val="28"/>
        </w:rPr>
        <w:t>энтезит</w:t>
      </w:r>
      <w:proofErr w:type="spellEnd"/>
      <w:r w:rsidRPr="00613D39">
        <w:rPr>
          <w:rFonts w:ascii="Times New Roman" w:hAnsi="Times New Roman"/>
          <w:sz w:val="28"/>
          <w:szCs w:val="28"/>
        </w:rPr>
        <w:t xml:space="preserve">-ассоциированным артритом </w:t>
      </w:r>
    </w:p>
    <w:tbl>
      <w:tblPr>
        <w:tblW w:w="9127" w:type="dxa"/>
        <w:jc w:val="center"/>
        <w:tblLook w:val="0000" w:firstRow="0" w:lastRow="0" w:firstColumn="0" w:lastColumn="0" w:noHBand="0" w:noVBand="0"/>
      </w:tblPr>
      <w:tblGrid>
        <w:gridCol w:w="4423"/>
        <w:gridCol w:w="4704"/>
      </w:tblGrid>
      <w:tr w:rsidR="006F2BE6" w:rsidRPr="00613D39" w14:paraId="100272E2" w14:textId="77777777" w:rsidTr="00074281">
        <w:trPr>
          <w:trHeight w:val="211"/>
          <w:tblHeader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9371" w14:textId="77777777" w:rsidR="006F2BE6" w:rsidRPr="00613D39" w:rsidRDefault="00074281" w:rsidP="00E57760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613D39">
              <w:rPr>
                <w:rFonts w:ascii="Times New Roman" w:hAnsi="Times New Roman"/>
                <w:sz w:val="28"/>
                <w:szCs w:val="28"/>
                <w:lang w:eastAsia="ja-JP"/>
              </w:rPr>
              <w:t>Масса тела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08DB" w14:textId="77777777" w:rsidR="006F2BE6" w:rsidRPr="00613D39" w:rsidRDefault="00074281" w:rsidP="00E57760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613D39">
              <w:rPr>
                <w:rFonts w:ascii="Times New Roman" w:hAnsi="Times New Roman"/>
                <w:sz w:val="28"/>
                <w:szCs w:val="28"/>
                <w:lang w:eastAsia="ja-JP"/>
              </w:rPr>
              <w:t>Рекомендованная доза</w:t>
            </w:r>
          </w:p>
        </w:tc>
      </w:tr>
      <w:tr w:rsidR="006F2BE6" w:rsidRPr="00613D39" w14:paraId="5713D497" w14:textId="77777777" w:rsidTr="00074281">
        <w:trPr>
          <w:trHeight w:val="272"/>
          <w:tblHeader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F9DB" w14:textId="77777777" w:rsidR="006F2BE6" w:rsidRPr="00613D39" w:rsidRDefault="006F2BE6" w:rsidP="00E57760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613D39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от 15 до </w:t>
            </w:r>
            <w:proofErr w:type="gramStart"/>
            <w:r w:rsidRPr="00613D39">
              <w:rPr>
                <w:rFonts w:ascii="Times New Roman" w:hAnsi="Times New Roman"/>
                <w:sz w:val="28"/>
                <w:szCs w:val="28"/>
                <w:lang w:eastAsia="ja-JP"/>
              </w:rPr>
              <w:t>&lt; 30</w:t>
            </w:r>
            <w:proofErr w:type="gramEnd"/>
            <w:r w:rsidRPr="00613D39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кг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1169" w14:textId="77777777" w:rsidR="006F2BE6" w:rsidRPr="00613D39" w:rsidRDefault="006F2BE6" w:rsidP="00E57760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613D39">
              <w:rPr>
                <w:rFonts w:ascii="Times New Roman" w:hAnsi="Times New Roman"/>
                <w:sz w:val="28"/>
                <w:szCs w:val="28"/>
                <w:lang w:eastAsia="ja-JP"/>
              </w:rPr>
              <w:t>20 мг один раз в две недели</w:t>
            </w:r>
          </w:p>
        </w:tc>
      </w:tr>
      <w:tr w:rsidR="006F2BE6" w:rsidRPr="00613D39" w14:paraId="06A68A2D" w14:textId="77777777" w:rsidTr="00074281">
        <w:trPr>
          <w:trHeight w:val="178"/>
          <w:tblHeader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90D4" w14:textId="77777777" w:rsidR="006F2BE6" w:rsidRPr="00613D39" w:rsidRDefault="006F2BE6" w:rsidP="00E57760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613D39">
              <w:rPr>
                <w:rFonts w:ascii="Times New Roman" w:hAnsi="Times New Roman"/>
                <w:sz w:val="28"/>
                <w:szCs w:val="28"/>
                <w:lang w:eastAsia="ja-JP"/>
              </w:rPr>
              <w:t>≥ 30 кг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E509" w14:textId="77777777" w:rsidR="006F2BE6" w:rsidRPr="00613D39" w:rsidRDefault="006F2BE6" w:rsidP="00E57760">
            <w:pPr>
              <w:keepNext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613D39">
              <w:rPr>
                <w:rFonts w:ascii="Times New Roman" w:hAnsi="Times New Roman"/>
                <w:sz w:val="28"/>
                <w:szCs w:val="28"/>
                <w:lang w:eastAsia="ja-JP"/>
              </w:rPr>
              <w:t>40 мг один раз в две недели</w:t>
            </w:r>
          </w:p>
        </w:tc>
      </w:tr>
    </w:tbl>
    <w:p w14:paraId="3E0F9639" w14:textId="77777777" w:rsidR="006F2BE6" w:rsidRPr="00613D39" w:rsidRDefault="006F2BE6" w:rsidP="006F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02D32F" w14:textId="77777777" w:rsidR="006F2BE6" w:rsidRPr="00613D39" w:rsidRDefault="006F2BE6" w:rsidP="006F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D39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613D39">
        <w:rPr>
          <w:rFonts w:ascii="Times New Roman" w:hAnsi="Times New Roman"/>
          <w:sz w:val="28"/>
          <w:szCs w:val="28"/>
        </w:rPr>
        <w:t>адалимумаба</w:t>
      </w:r>
      <w:proofErr w:type="spellEnd"/>
      <w:r w:rsidRPr="00613D39">
        <w:rPr>
          <w:rFonts w:ascii="Times New Roman" w:hAnsi="Times New Roman"/>
          <w:sz w:val="28"/>
          <w:szCs w:val="28"/>
        </w:rPr>
        <w:t xml:space="preserve"> у детей в возрасте до 6 лет с </w:t>
      </w:r>
      <w:proofErr w:type="spellStart"/>
      <w:r w:rsidRPr="00613D39">
        <w:rPr>
          <w:rFonts w:ascii="Times New Roman" w:hAnsi="Times New Roman"/>
          <w:sz w:val="28"/>
          <w:szCs w:val="28"/>
        </w:rPr>
        <w:t>энтезит</w:t>
      </w:r>
      <w:proofErr w:type="spellEnd"/>
      <w:r w:rsidRPr="00613D39">
        <w:rPr>
          <w:rFonts w:ascii="Times New Roman" w:hAnsi="Times New Roman"/>
          <w:sz w:val="28"/>
          <w:szCs w:val="28"/>
        </w:rPr>
        <w:t>-ассоциированным артритом не изучалось.</w:t>
      </w:r>
    </w:p>
    <w:p w14:paraId="426CA10B" w14:textId="77777777" w:rsidR="00330627" w:rsidRPr="00613D39" w:rsidRDefault="00330627" w:rsidP="00330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13D39">
        <w:rPr>
          <w:rFonts w:ascii="Times New Roman" w:hAnsi="Times New Roman"/>
          <w:sz w:val="28"/>
          <w:szCs w:val="28"/>
          <w:u w:val="single"/>
        </w:rPr>
        <w:t>Бляшечный</w:t>
      </w:r>
      <w:proofErr w:type="spellEnd"/>
      <w:r w:rsidRPr="00613D39">
        <w:rPr>
          <w:rFonts w:ascii="Times New Roman" w:hAnsi="Times New Roman"/>
          <w:sz w:val="28"/>
          <w:szCs w:val="28"/>
          <w:u w:val="single"/>
        </w:rPr>
        <w:t xml:space="preserve"> псориаз у детей</w:t>
      </w:r>
    </w:p>
    <w:p w14:paraId="5C6AFD49" w14:textId="77777777" w:rsidR="00330627" w:rsidRPr="007069A2" w:rsidRDefault="00330627" w:rsidP="00330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D39">
        <w:rPr>
          <w:rFonts w:ascii="Times New Roman" w:hAnsi="Times New Roman"/>
          <w:sz w:val="28"/>
          <w:szCs w:val="28"/>
        </w:rPr>
        <w:lastRenderedPageBreak/>
        <w:t xml:space="preserve">Рекомендуемая доза </w:t>
      </w:r>
      <w:r w:rsidR="003154D0">
        <w:rPr>
          <w:rFonts w:ascii="Times New Roman" w:hAnsi="Times New Roman"/>
          <w:sz w:val="28"/>
          <w:szCs w:val="28"/>
        </w:rPr>
        <w:t xml:space="preserve">препарата </w:t>
      </w:r>
      <w:proofErr w:type="spellStart"/>
      <w:r w:rsidR="003154D0">
        <w:rPr>
          <w:rFonts w:ascii="Times New Roman" w:hAnsi="Times New Roman"/>
          <w:sz w:val="28"/>
          <w:szCs w:val="28"/>
        </w:rPr>
        <w:t>Адалира</w:t>
      </w:r>
      <w:proofErr w:type="spellEnd"/>
      <w:r w:rsidRPr="00613D39">
        <w:rPr>
          <w:rFonts w:ascii="Times New Roman" w:hAnsi="Times New Roman"/>
          <w:sz w:val="28"/>
          <w:szCs w:val="28"/>
        </w:rPr>
        <w:t xml:space="preserve"> для детей и подростков с </w:t>
      </w:r>
      <w:proofErr w:type="spellStart"/>
      <w:r w:rsidRPr="00613D39">
        <w:rPr>
          <w:rFonts w:ascii="Times New Roman" w:hAnsi="Times New Roman"/>
          <w:sz w:val="28"/>
          <w:szCs w:val="28"/>
        </w:rPr>
        <w:t>бляшечным</w:t>
      </w:r>
      <w:proofErr w:type="spellEnd"/>
      <w:r w:rsidRPr="00613D39">
        <w:rPr>
          <w:rFonts w:ascii="Times New Roman" w:hAnsi="Times New Roman"/>
          <w:sz w:val="28"/>
          <w:szCs w:val="28"/>
        </w:rPr>
        <w:t xml:space="preserve"> псориазом в возрасте от 4 до 17 лет определяется исходя из массы тела пациента (таблица 3</w:t>
      </w:r>
      <w:r w:rsidRPr="007069A2">
        <w:rPr>
          <w:rFonts w:ascii="Times New Roman" w:hAnsi="Times New Roman"/>
          <w:sz w:val="28"/>
          <w:szCs w:val="28"/>
        </w:rPr>
        <w:t xml:space="preserve">). </w:t>
      </w:r>
      <w:r w:rsidR="003154D0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Pr="007069A2">
        <w:rPr>
          <w:rFonts w:ascii="Times New Roman" w:hAnsi="Times New Roman"/>
          <w:sz w:val="28"/>
          <w:szCs w:val="28"/>
        </w:rPr>
        <w:t>Адали</w:t>
      </w:r>
      <w:r w:rsidR="003154D0">
        <w:rPr>
          <w:rFonts w:ascii="Times New Roman" w:hAnsi="Times New Roman"/>
          <w:sz w:val="28"/>
          <w:szCs w:val="28"/>
        </w:rPr>
        <w:t>ра</w:t>
      </w:r>
      <w:proofErr w:type="spellEnd"/>
      <w:r w:rsidRPr="007069A2">
        <w:rPr>
          <w:rFonts w:ascii="Times New Roman" w:hAnsi="Times New Roman"/>
          <w:sz w:val="28"/>
          <w:szCs w:val="28"/>
        </w:rPr>
        <w:t xml:space="preserve"> вводят подкожно.</w:t>
      </w:r>
    </w:p>
    <w:p w14:paraId="0F83AEA4" w14:textId="77777777" w:rsidR="00330627" w:rsidRPr="00613D39" w:rsidRDefault="00330627" w:rsidP="00330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9A2">
        <w:rPr>
          <w:rFonts w:ascii="Times New Roman" w:hAnsi="Times New Roman"/>
          <w:sz w:val="28"/>
          <w:szCs w:val="28"/>
        </w:rPr>
        <w:t xml:space="preserve">Таблица 3. Определение дозы препарата </w:t>
      </w:r>
      <w:proofErr w:type="spellStart"/>
      <w:r w:rsidRPr="007069A2">
        <w:rPr>
          <w:rFonts w:ascii="Times New Roman" w:hAnsi="Times New Roman"/>
          <w:sz w:val="28"/>
          <w:szCs w:val="28"/>
        </w:rPr>
        <w:t>Адали</w:t>
      </w:r>
      <w:r w:rsidR="00650E43" w:rsidRPr="007069A2">
        <w:rPr>
          <w:rFonts w:ascii="Times New Roman" w:hAnsi="Times New Roman"/>
          <w:sz w:val="28"/>
          <w:szCs w:val="28"/>
        </w:rPr>
        <w:t>ра</w:t>
      </w:r>
      <w:proofErr w:type="spellEnd"/>
      <w:r w:rsidRPr="007069A2">
        <w:rPr>
          <w:rFonts w:ascii="Times New Roman" w:hAnsi="Times New Roman"/>
          <w:sz w:val="28"/>
          <w:szCs w:val="28"/>
        </w:rPr>
        <w:t xml:space="preserve"> для пациентов детского возраста с </w:t>
      </w:r>
      <w:proofErr w:type="spellStart"/>
      <w:r w:rsidRPr="007069A2">
        <w:rPr>
          <w:rFonts w:ascii="Times New Roman" w:hAnsi="Times New Roman"/>
          <w:sz w:val="28"/>
          <w:szCs w:val="28"/>
        </w:rPr>
        <w:t>бляшечным</w:t>
      </w:r>
      <w:proofErr w:type="spellEnd"/>
      <w:r w:rsidRPr="007069A2">
        <w:rPr>
          <w:rFonts w:ascii="Times New Roman" w:hAnsi="Times New Roman"/>
          <w:sz w:val="28"/>
          <w:szCs w:val="28"/>
        </w:rPr>
        <w:t xml:space="preserve"> псориазом</w:t>
      </w:r>
      <w:r w:rsidRPr="00613D3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9"/>
        <w:gridCol w:w="4751"/>
      </w:tblGrid>
      <w:tr w:rsidR="00330627" w:rsidRPr="00613D39" w14:paraId="5CEBDF9F" w14:textId="77777777" w:rsidTr="00E57760">
        <w:trPr>
          <w:trHeight w:val="162"/>
          <w:tblHeader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8A3E" w14:textId="77777777" w:rsidR="00330627" w:rsidRPr="00613D39" w:rsidRDefault="00330627" w:rsidP="00E5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613D39">
              <w:rPr>
                <w:rFonts w:ascii="Times New Roman" w:hAnsi="Times New Roman"/>
                <w:sz w:val="28"/>
                <w:szCs w:val="28"/>
                <w:lang w:eastAsia="ja-JP"/>
              </w:rPr>
              <w:t>Масса тела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3CFF" w14:textId="77777777" w:rsidR="00330627" w:rsidRPr="00613D39" w:rsidRDefault="00330627" w:rsidP="00E5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39">
              <w:rPr>
                <w:rFonts w:ascii="Times New Roman" w:hAnsi="Times New Roman"/>
                <w:sz w:val="28"/>
                <w:szCs w:val="28"/>
                <w:lang w:eastAsia="ja-JP"/>
              </w:rPr>
              <w:t>Рекомендованная доза</w:t>
            </w:r>
          </w:p>
        </w:tc>
      </w:tr>
      <w:tr w:rsidR="00330627" w:rsidRPr="00613D39" w14:paraId="661B027F" w14:textId="77777777" w:rsidTr="00E57760">
        <w:trPr>
          <w:trHeight w:val="732"/>
          <w:tblHeader/>
          <w:jc w:val="center"/>
        </w:trPr>
        <w:tc>
          <w:tcPr>
            <w:tcW w:w="4309" w:type="dxa"/>
            <w:shd w:val="clear" w:color="auto" w:fill="auto"/>
            <w:vAlign w:val="center"/>
          </w:tcPr>
          <w:p w14:paraId="5FEEC08F" w14:textId="77777777" w:rsidR="00330627" w:rsidRPr="00613D39" w:rsidRDefault="00330627" w:rsidP="00E5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D39">
              <w:rPr>
                <w:rFonts w:ascii="Times New Roman" w:hAnsi="Times New Roman"/>
                <w:sz w:val="28"/>
                <w:szCs w:val="28"/>
              </w:rPr>
              <w:t>от 15 до &lt;30 кг</w:t>
            </w:r>
          </w:p>
        </w:tc>
        <w:tc>
          <w:tcPr>
            <w:tcW w:w="4751" w:type="dxa"/>
            <w:shd w:val="clear" w:color="auto" w:fill="auto"/>
          </w:tcPr>
          <w:p w14:paraId="655E1A12" w14:textId="77777777" w:rsidR="00330627" w:rsidRPr="00613D39" w:rsidRDefault="00330627" w:rsidP="00E57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3D39">
              <w:rPr>
                <w:rFonts w:ascii="Times New Roman" w:hAnsi="Times New Roman"/>
                <w:sz w:val="28"/>
                <w:szCs w:val="28"/>
              </w:rPr>
              <w:t>Начальная доза 20 мг, затем 20 мг один раз в две недели, начиная через неделю после начальной дозы</w:t>
            </w:r>
          </w:p>
        </w:tc>
      </w:tr>
      <w:tr w:rsidR="00330627" w:rsidRPr="00613D39" w14:paraId="56C836A5" w14:textId="77777777" w:rsidTr="00E57760">
        <w:trPr>
          <w:trHeight w:val="603"/>
          <w:tblHeader/>
          <w:jc w:val="center"/>
        </w:trPr>
        <w:tc>
          <w:tcPr>
            <w:tcW w:w="4309" w:type="dxa"/>
            <w:shd w:val="clear" w:color="auto" w:fill="auto"/>
            <w:vAlign w:val="center"/>
          </w:tcPr>
          <w:p w14:paraId="353BB9CC" w14:textId="77777777" w:rsidR="00330627" w:rsidRPr="00613D39" w:rsidRDefault="00330627" w:rsidP="00E5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D39">
              <w:rPr>
                <w:rFonts w:ascii="Times New Roman" w:hAnsi="Times New Roman"/>
                <w:sz w:val="28"/>
                <w:szCs w:val="28"/>
              </w:rPr>
              <w:t>≥ 30 кг</w:t>
            </w:r>
          </w:p>
        </w:tc>
        <w:tc>
          <w:tcPr>
            <w:tcW w:w="4751" w:type="dxa"/>
            <w:shd w:val="clear" w:color="auto" w:fill="auto"/>
          </w:tcPr>
          <w:p w14:paraId="4F53A405" w14:textId="77777777" w:rsidR="00330627" w:rsidRPr="00613D39" w:rsidRDefault="00330627" w:rsidP="00E57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x-none"/>
              </w:rPr>
            </w:pPr>
            <w:r w:rsidRPr="00613D39">
              <w:rPr>
                <w:rFonts w:ascii="Times New Roman" w:hAnsi="Times New Roman"/>
                <w:sz w:val="28"/>
                <w:szCs w:val="28"/>
                <w:lang w:val="x-none"/>
              </w:rPr>
              <w:t>Начальная доза 40</w:t>
            </w:r>
            <w:r w:rsidRPr="0061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39">
              <w:rPr>
                <w:rFonts w:ascii="Times New Roman" w:hAnsi="Times New Roman"/>
                <w:sz w:val="28"/>
                <w:szCs w:val="28"/>
                <w:lang w:val="x-none"/>
              </w:rPr>
              <w:t>мг, затем 40</w:t>
            </w:r>
            <w:r w:rsidRPr="0061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39">
              <w:rPr>
                <w:rFonts w:ascii="Times New Roman" w:hAnsi="Times New Roman"/>
                <w:sz w:val="28"/>
                <w:szCs w:val="28"/>
                <w:lang w:val="x-none"/>
              </w:rPr>
              <w:t>мг один раз в две недели, начиная через неделю после начальной дозы</w:t>
            </w:r>
          </w:p>
        </w:tc>
      </w:tr>
    </w:tbl>
    <w:p w14:paraId="59E5482F" w14:textId="77777777" w:rsidR="00330627" w:rsidRPr="00613D39" w:rsidRDefault="00330627" w:rsidP="00330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0F10A9" w14:textId="77777777" w:rsidR="00330627" w:rsidRPr="00613D39" w:rsidRDefault="00330627" w:rsidP="00330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D39">
        <w:rPr>
          <w:rFonts w:ascii="Times New Roman" w:hAnsi="Times New Roman"/>
          <w:sz w:val="28"/>
          <w:szCs w:val="28"/>
        </w:rPr>
        <w:t>Решение о прекращении терапии может быть принято в случае, если не отмечается терапевтический эффект в течение 16 недель.</w:t>
      </w:r>
    </w:p>
    <w:p w14:paraId="78FEF836" w14:textId="77777777" w:rsidR="00330627" w:rsidRPr="00613D39" w:rsidRDefault="00330627" w:rsidP="00330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D39">
        <w:rPr>
          <w:rFonts w:ascii="Times New Roman" w:hAnsi="Times New Roman"/>
          <w:sz w:val="28"/>
          <w:szCs w:val="28"/>
        </w:rPr>
        <w:t xml:space="preserve">Если пациенту назначена повторная терапия </w:t>
      </w:r>
      <w:r w:rsidR="004D5F4D">
        <w:rPr>
          <w:rFonts w:ascii="Times New Roman" w:hAnsi="Times New Roman"/>
          <w:sz w:val="28"/>
          <w:szCs w:val="28"/>
        </w:rPr>
        <w:t xml:space="preserve">препаратом </w:t>
      </w:r>
      <w:proofErr w:type="spellStart"/>
      <w:r w:rsidR="004D5F4D">
        <w:rPr>
          <w:rFonts w:ascii="Times New Roman" w:hAnsi="Times New Roman"/>
          <w:sz w:val="28"/>
          <w:szCs w:val="28"/>
        </w:rPr>
        <w:t>Адалира</w:t>
      </w:r>
      <w:proofErr w:type="spellEnd"/>
      <w:r w:rsidRPr="00613D39">
        <w:rPr>
          <w:rFonts w:ascii="Times New Roman" w:hAnsi="Times New Roman"/>
          <w:sz w:val="28"/>
          <w:szCs w:val="28"/>
        </w:rPr>
        <w:t xml:space="preserve">, необходимо соблюдать приведенные выше указания по подбору дозы и продолжительности лечения. </w:t>
      </w:r>
    </w:p>
    <w:p w14:paraId="68852122" w14:textId="77777777" w:rsidR="00330627" w:rsidRPr="00613D39" w:rsidRDefault="00330627" w:rsidP="00330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D39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613D39">
        <w:rPr>
          <w:rFonts w:ascii="Times New Roman" w:hAnsi="Times New Roman"/>
          <w:sz w:val="28"/>
          <w:szCs w:val="28"/>
        </w:rPr>
        <w:t>адалимумаба</w:t>
      </w:r>
      <w:proofErr w:type="spellEnd"/>
      <w:r w:rsidRPr="00613D39">
        <w:rPr>
          <w:rFonts w:ascii="Times New Roman" w:hAnsi="Times New Roman"/>
          <w:sz w:val="28"/>
          <w:szCs w:val="28"/>
        </w:rPr>
        <w:t xml:space="preserve"> у детей в возрасте до 4 лет по данному показанию не изучалось.</w:t>
      </w:r>
    </w:p>
    <w:p w14:paraId="5654F662" w14:textId="77777777" w:rsidR="00393941" w:rsidRPr="00613D39" w:rsidRDefault="00393941" w:rsidP="00393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13D39">
        <w:rPr>
          <w:rFonts w:ascii="Times New Roman" w:hAnsi="Times New Roman"/>
          <w:sz w:val="28"/>
          <w:szCs w:val="28"/>
          <w:u w:val="single"/>
        </w:rPr>
        <w:t>Гнойный гидраденит у подростков (в возрасте от 12 лет, масса тела — не менее 30 кг)</w:t>
      </w:r>
    </w:p>
    <w:p w14:paraId="147CF00F" w14:textId="77777777" w:rsidR="00393941" w:rsidRPr="00613D39" w:rsidRDefault="00393941" w:rsidP="00393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D39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613D39">
        <w:rPr>
          <w:rFonts w:ascii="Times New Roman" w:hAnsi="Times New Roman"/>
          <w:sz w:val="28"/>
          <w:szCs w:val="28"/>
        </w:rPr>
        <w:t>адалимумаба</w:t>
      </w:r>
      <w:proofErr w:type="spellEnd"/>
      <w:r w:rsidRPr="00613D39">
        <w:rPr>
          <w:rFonts w:ascii="Times New Roman" w:hAnsi="Times New Roman"/>
          <w:sz w:val="28"/>
          <w:szCs w:val="28"/>
        </w:rPr>
        <w:t xml:space="preserve"> не изучалось у подростков с гнойным гидраденитом. Способ применения </w:t>
      </w:r>
      <w:proofErr w:type="spellStart"/>
      <w:r w:rsidRPr="00613D39">
        <w:rPr>
          <w:rFonts w:ascii="Times New Roman" w:hAnsi="Times New Roman"/>
          <w:sz w:val="28"/>
          <w:szCs w:val="28"/>
        </w:rPr>
        <w:t>адалимумаба</w:t>
      </w:r>
      <w:proofErr w:type="spellEnd"/>
      <w:r w:rsidRPr="00613D39">
        <w:rPr>
          <w:rFonts w:ascii="Times New Roman" w:hAnsi="Times New Roman"/>
          <w:sz w:val="28"/>
          <w:szCs w:val="28"/>
        </w:rPr>
        <w:t xml:space="preserve"> для этих пациентов был определен на основе фармакокинетического моделирования и симуляции.</w:t>
      </w:r>
    </w:p>
    <w:p w14:paraId="18123CDA" w14:textId="77777777" w:rsidR="00393941" w:rsidRPr="00613D39" w:rsidRDefault="00393941" w:rsidP="00393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D39">
        <w:rPr>
          <w:rFonts w:ascii="Times New Roman" w:hAnsi="Times New Roman"/>
          <w:sz w:val="28"/>
          <w:szCs w:val="28"/>
        </w:rPr>
        <w:t xml:space="preserve">Рекомендуемая доза препарата </w:t>
      </w:r>
      <w:proofErr w:type="spellStart"/>
      <w:r w:rsidR="002515F4">
        <w:rPr>
          <w:rFonts w:ascii="Times New Roman" w:hAnsi="Times New Roman"/>
          <w:sz w:val="28"/>
          <w:szCs w:val="28"/>
        </w:rPr>
        <w:t>Адалира</w:t>
      </w:r>
      <w:proofErr w:type="spellEnd"/>
      <w:r w:rsidRPr="00613D39">
        <w:rPr>
          <w:rFonts w:ascii="Times New Roman" w:hAnsi="Times New Roman"/>
          <w:sz w:val="28"/>
          <w:szCs w:val="28"/>
        </w:rPr>
        <w:t xml:space="preserve"> составляет 80 мг на нулевой неделе, а затем по 40 мг один раз в две недели, начиная с первой недели, путем подкожной инъекции.</w:t>
      </w:r>
    </w:p>
    <w:p w14:paraId="0EB54307" w14:textId="77777777" w:rsidR="00393941" w:rsidRPr="00613D39" w:rsidRDefault="00393941" w:rsidP="00393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D39">
        <w:rPr>
          <w:rFonts w:ascii="Times New Roman" w:hAnsi="Times New Roman"/>
          <w:sz w:val="28"/>
          <w:szCs w:val="28"/>
        </w:rPr>
        <w:t xml:space="preserve">У пациентов подросткового возраста с неадекватным ответом при применении дозы 40 мг один раз в две недели рекомендуется увеличение дозы </w:t>
      </w:r>
      <w:r w:rsidR="000945F2">
        <w:rPr>
          <w:rFonts w:ascii="Times New Roman" w:hAnsi="Times New Roman"/>
          <w:sz w:val="28"/>
          <w:szCs w:val="28"/>
        </w:rPr>
        <w:t xml:space="preserve">препарата </w:t>
      </w:r>
      <w:proofErr w:type="spellStart"/>
      <w:r w:rsidR="000945F2">
        <w:rPr>
          <w:rFonts w:ascii="Times New Roman" w:hAnsi="Times New Roman"/>
          <w:sz w:val="28"/>
          <w:szCs w:val="28"/>
        </w:rPr>
        <w:t>Адалира</w:t>
      </w:r>
      <w:proofErr w:type="spellEnd"/>
      <w:r w:rsidRPr="00613D39">
        <w:rPr>
          <w:rFonts w:ascii="Times New Roman" w:hAnsi="Times New Roman"/>
          <w:sz w:val="28"/>
          <w:szCs w:val="28"/>
        </w:rPr>
        <w:t xml:space="preserve"> до 40 мг один раз в неделю или 80 мг один раз в две недели.</w:t>
      </w:r>
    </w:p>
    <w:p w14:paraId="5AD91020" w14:textId="77777777" w:rsidR="00393941" w:rsidRPr="00613D39" w:rsidRDefault="00393941" w:rsidP="00393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D39">
        <w:rPr>
          <w:rFonts w:ascii="Times New Roman" w:hAnsi="Times New Roman"/>
          <w:sz w:val="28"/>
          <w:szCs w:val="28"/>
        </w:rPr>
        <w:t xml:space="preserve">При необходимости прием антибиотиков может быть продолжен во время лечения </w:t>
      </w:r>
      <w:r w:rsidR="0001706D">
        <w:rPr>
          <w:rFonts w:ascii="Times New Roman" w:hAnsi="Times New Roman"/>
          <w:sz w:val="28"/>
          <w:szCs w:val="28"/>
        </w:rPr>
        <w:t xml:space="preserve">препаратом </w:t>
      </w:r>
      <w:proofErr w:type="spellStart"/>
      <w:r w:rsidR="0001706D">
        <w:rPr>
          <w:rFonts w:ascii="Times New Roman" w:hAnsi="Times New Roman"/>
          <w:sz w:val="28"/>
          <w:szCs w:val="28"/>
        </w:rPr>
        <w:t>Адалира</w:t>
      </w:r>
      <w:proofErr w:type="spellEnd"/>
      <w:r w:rsidRPr="00613D39">
        <w:rPr>
          <w:rFonts w:ascii="Times New Roman" w:hAnsi="Times New Roman"/>
          <w:sz w:val="28"/>
          <w:szCs w:val="28"/>
        </w:rPr>
        <w:t xml:space="preserve">. Пациенту необходимо рекомендовать ежедневно обрабатывать поражения гнойного гидраденита с помощью местных антисептических средств во время лечения </w:t>
      </w:r>
      <w:r w:rsidR="00CB2BBB">
        <w:rPr>
          <w:rFonts w:ascii="Times New Roman" w:hAnsi="Times New Roman"/>
          <w:sz w:val="28"/>
          <w:szCs w:val="28"/>
        </w:rPr>
        <w:t xml:space="preserve">препаратом </w:t>
      </w:r>
      <w:proofErr w:type="spellStart"/>
      <w:r w:rsidR="00CB2BBB">
        <w:rPr>
          <w:rFonts w:ascii="Times New Roman" w:hAnsi="Times New Roman"/>
          <w:sz w:val="28"/>
          <w:szCs w:val="28"/>
        </w:rPr>
        <w:t>Адалира</w:t>
      </w:r>
      <w:proofErr w:type="spellEnd"/>
      <w:r w:rsidRPr="00613D39">
        <w:rPr>
          <w:rFonts w:ascii="Times New Roman" w:hAnsi="Times New Roman"/>
          <w:sz w:val="28"/>
          <w:szCs w:val="28"/>
        </w:rPr>
        <w:t>.</w:t>
      </w:r>
    </w:p>
    <w:p w14:paraId="544C7863" w14:textId="77777777" w:rsidR="00393941" w:rsidRPr="007069A2" w:rsidRDefault="00393941" w:rsidP="00393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D39">
        <w:rPr>
          <w:rFonts w:ascii="Times New Roman" w:hAnsi="Times New Roman"/>
          <w:sz w:val="28"/>
          <w:szCs w:val="28"/>
        </w:rPr>
        <w:t xml:space="preserve">В случае прерывания терапии </w:t>
      </w:r>
      <w:r w:rsidRPr="007069A2">
        <w:rPr>
          <w:rFonts w:ascii="Times New Roman" w:hAnsi="Times New Roman"/>
          <w:sz w:val="28"/>
          <w:szCs w:val="28"/>
        </w:rPr>
        <w:t xml:space="preserve">препаратом </w:t>
      </w:r>
      <w:proofErr w:type="spellStart"/>
      <w:r w:rsidRPr="007069A2">
        <w:rPr>
          <w:rFonts w:ascii="Times New Roman" w:hAnsi="Times New Roman"/>
          <w:sz w:val="28"/>
          <w:szCs w:val="28"/>
        </w:rPr>
        <w:t>Адали</w:t>
      </w:r>
      <w:r w:rsidR="00827390">
        <w:rPr>
          <w:rFonts w:ascii="Times New Roman" w:hAnsi="Times New Roman"/>
          <w:sz w:val="28"/>
          <w:szCs w:val="28"/>
        </w:rPr>
        <w:t>ра</w:t>
      </w:r>
      <w:proofErr w:type="spellEnd"/>
      <w:r w:rsidRPr="007069A2">
        <w:rPr>
          <w:rFonts w:ascii="Times New Roman" w:hAnsi="Times New Roman"/>
          <w:sz w:val="28"/>
          <w:szCs w:val="28"/>
        </w:rPr>
        <w:t xml:space="preserve"> возможно возобновить лечение по указанной выше схеме. </w:t>
      </w:r>
    </w:p>
    <w:p w14:paraId="14B342DD" w14:textId="77777777" w:rsidR="00393941" w:rsidRPr="007069A2" w:rsidRDefault="00393941" w:rsidP="003939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9A2">
        <w:rPr>
          <w:rFonts w:ascii="Times New Roman" w:hAnsi="Times New Roman"/>
          <w:sz w:val="28"/>
          <w:szCs w:val="28"/>
        </w:rPr>
        <w:t xml:space="preserve">Это показание к применению </w:t>
      </w:r>
      <w:r w:rsidR="003F79EB">
        <w:rPr>
          <w:rFonts w:ascii="Times New Roman" w:hAnsi="Times New Roman"/>
          <w:sz w:val="28"/>
          <w:szCs w:val="28"/>
        </w:rPr>
        <w:t xml:space="preserve">препарата </w:t>
      </w:r>
      <w:proofErr w:type="spellStart"/>
      <w:r w:rsidR="003F79EB">
        <w:rPr>
          <w:rFonts w:ascii="Times New Roman" w:hAnsi="Times New Roman"/>
          <w:sz w:val="28"/>
          <w:szCs w:val="28"/>
        </w:rPr>
        <w:t>Адалира</w:t>
      </w:r>
      <w:proofErr w:type="spellEnd"/>
      <w:r w:rsidRPr="007069A2">
        <w:rPr>
          <w:rFonts w:ascii="Times New Roman" w:hAnsi="Times New Roman"/>
          <w:sz w:val="28"/>
          <w:szCs w:val="28"/>
        </w:rPr>
        <w:t xml:space="preserve"> не предполагает применение у детей младше 12 лет.</w:t>
      </w:r>
    </w:p>
    <w:p w14:paraId="3C18C40B" w14:textId="77777777" w:rsidR="005F499E" w:rsidRPr="007069A2" w:rsidRDefault="005F499E" w:rsidP="005F49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69A2">
        <w:rPr>
          <w:rFonts w:ascii="Times New Roman" w:hAnsi="Times New Roman"/>
          <w:sz w:val="28"/>
          <w:szCs w:val="28"/>
          <w:u w:val="single"/>
        </w:rPr>
        <w:t>Болезнь Крона у детей</w:t>
      </w:r>
    </w:p>
    <w:p w14:paraId="1D25B6D6" w14:textId="77777777" w:rsidR="005F499E" w:rsidRPr="007069A2" w:rsidRDefault="005F499E" w:rsidP="005F49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7069A2">
        <w:rPr>
          <w:rFonts w:ascii="Times New Roman" w:hAnsi="Times New Roman"/>
          <w:sz w:val="28"/>
          <w:szCs w:val="28"/>
          <w:lang w:val="x-none" w:eastAsia="x-none"/>
        </w:rPr>
        <w:t xml:space="preserve">Рекомендуемая доза препарата </w:t>
      </w:r>
      <w:proofErr w:type="spellStart"/>
      <w:r w:rsidR="006E2898">
        <w:rPr>
          <w:rFonts w:ascii="Times New Roman" w:hAnsi="Times New Roman"/>
          <w:sz w:val="28"/>
          <w:szCs w:val="28"/>
          <w:lang w:eastAsia="x-none"/>
        </w:rPr>
        <w:t>Адалира</w:t>
      </w:r>
      <w:proofErr w:type="spellEnd"/>
      <w:r w:rsidRPr="007069A2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7069A2">
        <w:rPr>
          <w:rFonts w:ascii="Times New Roman" w:hAnsi="Times New Roman"/>
          <w:sz w:val="28"/>
          <w:szCs w:val="28"/>
          <w:lang w:val="x-none" w:eastAsia="x-none"/>
        </w:rPr>
        <w:t>для пациентов в возрасте от</w:t>
      </w:r>
      <w:r w:rsidRPr="007069A2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7069A2">
        <w:rPr>
          <w:rFonts w:ascii="Times New Roman" w:hAnsi="Times New Roman"/>
          <w:sz w:val="28"/>
          <w:szCs w:val="28"/>
          <w:lang w:val="x-none" w:eastAsia="x-none"/>
        </w:rPr>
        <w:t>6</w:t>
      </w:r>
      <w:r w:rsidRPr="007069A2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7069A2">
        <w:rPr>
          <w:rFonts w:ascii="Times New Roman" w:hAnsi="Times New Roman"/>
          <w:sz w:val="28"/>
          <w:szCs w:val="28"/>
          <w:lang w:val="x-none" w:eastAsia="x-none"/>
        </w:rPr>
        <w:t>до</w:t>
      </w:r>
      <w:r w:rsidRPr="007069A2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7069A2">
        <w:rPr>
          <w:rFonts w:ascii="Times New Roman" w:hAnsi="Times New Roman"/>
          <w:sz w:val="28"/>
          <w:szCs w:val="28"/>
          <w:lang w:val="x-none" w:eastAsia="x-none"/>
        </w:rPr>
        <w:t>17</w:t>
      </w:r>
      <w:r w:rsidRPr="007069A2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7069A2">
        <w:rPr>
          <w:rFonts w:ascii="Times New Roman" w:hAnsi="Times New Roman"/>
          <w:sz w:val="28"/>
          <w:szCs w:val="28"/>
          <w:lang w:val="x-none" w:eastAsia="x-none"/>
        </w:rPr>
        <w:t>лет с болезнью Крона определяется исходя из массы тела пациента (таблица</w:t>
      </w:r>
      <w:r w:rsidRPr="007069A2">
        <w:rPr>
          <w:rFonts w:ascii="Times New Roman" w:hAnsi="Times New Roman"/>
          <w:sz w:val="28"/>
          <w:szCs w:val="28"/>
          <w:lang w:eastAsia="x-none"/>
        </w:rPr>
        <w:t xml:space="preserve"> 4</w:t>
      </w:r>
      <w:r w:rsidRPr="007069A2">
        <w:rPr>
          <w:rFonts w:ascii="Times New Roman" w:hAnsi="Times New Roman"/>
          <w:sz w:val="28"/>
          <w:szCs w:val="28"/>
          <w:lang w:val="x-none" w:eastAsia="x-none"/>
        </w:rPr>
        <w:t xml:space="preserve">). </w:t>
      </w:r>
      <w:r w:rsidR="004D5E4E">
        <w:rPr>
          <w:rFonts w:ascii="Times New Roman" w:hAnsi="Times New Roman"/>
          <w:sz w:val="28"/>
          <w:szCs w:val="28"/>
          <w:lang w:eastAsia="x-none"/>
        </w:rPr>
        <w:t xml:space="preserve">Препарат </w:t>
      </w:r>
      <w:proofErr w:type="spellStart"/>
      <w:r w:rsidR="004D5E4E">
        <w:rPr>
          <w:rFonts w:ascii="Times New Roman" w:hAnsi="Times New Roman"/>
          <w:sz w:val="28"/>
          <w:szCs w:val="28"/>
          <w:lang w:eastAsia="x-none"/>
        </w:rPr>
        <w:t>Адалира</w:t>
      </w:r>
      <w:proofErr w:type="spellEnd"/>
      <w:r w:rsidRPr="007069A2">
        <w:rPr>
          <w:rFonts w:ascii="Times New Roman" w:hAnsi="Times New Roman"/>
          <w:sz w:val="28"/>
          <w:szCs w:val="28"/>
          <w:lang w:val="x-none" w:eastAsia="x-none"/>
        </w:rPr>
        <w:t xml:space="preserve"> вводят подкожно.</w:t>
      </w:r>
    </w:p>
    <w:p w14:paraId="4AE3E53E" w14:textId="77777777" w:rsidR="005F499E" w:rsidRPr="00613D39" w:rsidRDefault="005F499E" w:rsidP="005F499E">
      <w:pPr>
        <w:tabs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7069A2">
        <w:rPr>
          <w:rFonts w:ascii="Times New Roman" w:hAnsi="Times New Roman"/>
          <w:sz w:val="28"/>
          <w:szCs w:val="28"/>
          <w:lang w:val="x-none" w:eastAsia="x-none"/>
        </w:rPr>
        <w:lastRenderedPageBreak/>
        <w:t>Таблица</w:t>
      </w:r>
      <w:r w:rsidRPr="007069A2">
        <w:rPr>
          <w:rFonts w:ascii="Times New Roman" w:hAnsi="Times New Roman"/>
          <w:sz w:val="28"/>
          <w:szCs w:val="28"/>
          <w:lang w:eastAsia="x-none"/>
        </w:rPr>
        <w:t xml:space="preserve"> 4</w:t>
      </w:r>
      <w:r w:rsidRPr="007069A2">
        <w:rPr>
          <w:rFonts w:ascii="Times New Roman" w:hAnsi="Times New Roman"/>
          <w:sz w:val="28"/>
          <w:szCs w:val="28"/>
          <w:lang w:val="x-none" w:eastAsia="x-none"/>
        </w:rPr>
        <w:t xml:space="preserve">. Определение дозы препарата </w:t>
      </w:r>
      <w:proofErr w:type="spellStart"/>
      <w:r w:rsidRPr="007069A2">
        <w:rPr>
          <w:rFonts w:ascii="Times New Roman" w:hAnsi="Times New Roman"/>
          <w:sz w:val="28"/>
          <w:szCs w:val="28"/>
          <w:lang w:val="x-none" w:eastAsia="x-none"/>
        </w:rPr>
        <w:t>Адали</w:t>
      </w:r>
      <w:r w:rsidR="00650E43" w:rsidRPr="007069A2">
        <w:rPr>
          <w:rFonts w:ascii="Times New Roman" w:hAnsi="Times New Roman"/>
          <w:sz w:val="28"/>
          <w:szCs w:val="28"/>
          <w:lang w:eastAsia="x-none"/>
        </w:rPr>
        <w:t>ра</w:t>
      </w:r>
      <w:proofErr w:type="spellEnd"/>
      <w:r w:rsidRPr="007069A2">
        <w:rPr>
          <w:rFonts w:ascii="Times New Roman" w:hAnsi="Times New Roman"/>
          <w:sz w:val="28"/>
          <w:szCs w:val="28"/>
          <w:lang w:val="x-none" w:eastAsia="x-none"/>
        </w:rPr>
        <w:t xml:space="preserve"> для пациентов детского возраста с болезнью Крона</w:t>
      </w:r>
    </w:p>
    <w:tbl>
      <w:tblPr>
        <w:tblW w:w="499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4488"/>
        <w:gridCol w:w="2694"/>
      </w:tblGrid>
      <w:tr w:rsidR="005F499E" w:rsidRPr="00613D39" w14:paraId="6AC30E61" w14:textId="77777777" w:rsidTr="002318D4">
        <w:trPr>
          <w:trHeight w:val="506"/>
          <w:tblHeader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E4987" w14:textId="77777777" w:rsidR="005F499E" w:rsidRPr="00613D39" w:rsidRDefault="005F499E" w:rsidP="005F499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39">
              <w:rPr>
                <w:rFonts w:ascii="Times New Roman" w:hAnsi="Times New Roman"/>
                <w:sz w:val="28"/>
                <w:szCs w:val="28"/>
              </w:rPr>
              <w:t>Масса тела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776E5" w14:textId="77777777" w:rsidR="005F499E" w:rsidRPr="00613D39" w:rsidRDefault="005F499E" w:rsidP="005F499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39">
              <w:rPr>
                <w:rFonts w:ascii="Times New Roman" w:hAnsi="Times New Roman"/>
                <w:sz w:val="28"/>
                <w:szCs w:val="28"/>
              </w:rPr>
              <w:t>Начальная доза</w:t>
            </w:r>
          </w:p>
        </w:tc>
        <w:tc>
          <w:tcPr>
            <w:tcW w:w="1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E12C" w14:textId="77777777" w:rsidR="005F499E" w:rsidRPr="00613D39" w:rsidRDefault="005F499E" w:rsidP="005F499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39">
              <w:rPr>
                <w:rFonts w:ascii="Times New Roman" w:hAnsi="Times New Roman"/>
                <w:sz w:val="28"/>
                <w:szCs w:val="28"/>
              </w:rPr>
              <w:t>Поддерживающая доза с недели 4</w:t>
            </w:r>
          </w:p>
        </w:tc>
      </w:tr>
      <w:tr w:rsidR="005F499E" w:rsidRPr="00613D39" w14:paraId="787407F8" w14:textId="77777777" w:rsidTr="004E0142">
        <w:trPr>
          <w:trHeight w:val="904"/>
          <w:tblHeader/>
        </w:trPr>
        <w:tc>
          <w:tcPr>
            <w:tcW w:w="1049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FFFFFF"/>
            <w:vAlign w:val="center"/>
            <w:hideMark/>
          </w:tcPr>
          <w:p w14:paraId="580B7E52" w14:textId="77777777" w:rsidR="005F499E" w:rsidRPr="00613D39" w:rsidRDefault="005F499E" w:rsidP="00797ED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39">
              <w:rPr>
                <w:rFonts w:ascii="Times New Roman" w:hAnsi="Times New Roman"/>
                <w:color w:val="000000"/>
                <w:sz w:val="28"/>
                <w:szCs w:val="28"/>
              </w:rPr>
              <w:t>&lt;40кг</w:t>
            </w:r>
          </w:p>
        </w:tc>
        <w:tc>
          <w:tcPr>
            <w:tcW w:w="2469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FFFFFF"/>
            <w:hideMark/>
          </w:tcPr>
          <w:p w14:paraId="4BF9FCE2" w14:textId="629130B0" w:rsidR="005F499E" w:rsidRPr="00613D39" w:rsidRDefault="005F499E" w:rsidP="005F4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3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мг на 0 неделе и 20 мг на</w:t>
            </w:r>
            <w:r w:rsidR="00572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Pr="00613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неделе </w:t>
            </w:r>
          </w:p>
          <w:p w14:paraId="506755EC" w14:textId="77777777" w:rsidR="005F499E" w:rsidRPr="00613D39" w:rsidRDefault="005F499E" w:rsidP="005F4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3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необходимо получить более быстрый клинический ответ, то можно использовать следующую дозу, но при этом стоит учитывать, что риск нежелательных реакций может быть выше при использовании более высокой индукционной дозы:</w:t>
            </w:r>
          </w:p>
          <w:p w14:paraId="27582730" w14:textId="40DA1688" w:rsidR="005F499E" w:rsidRPr="00613D39" w:rsidRDefault="005F499E" w:rsidP="005F499E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80 мг на 0 неделе и 40 мг на </w:t>
            </w:r>
            <w:r w:rsidR="00572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 w:rsidRPr="00613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неделе </w:t>
            </w:r>
          </w:p>
        </w:tc>
        <w:tc>
          <w:tcPr>
            <w:tcW w:w="1482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FFFFFF"/>
            <w:vAlign w:val="center"/>
            <w:hideMark/>
          </w:tcPr>
          <w:p w14:paraId="7BE417DA" w14:textId="77777777" w:rsidR="005F499E" w:rsidRPr="00613D39" w:rsidRDefault="005F499E" w:rsidP="004E0142">
            <w:pPr>
              <w:tabs>
                <w:tab w:val="left" w:pos="540"/>
              </w:tabs>
              <w:spacing w:after="0" w:line="240" w:lineRule="auto"/>
              <w:ind w:lef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39">
              <w:rPr>
                <w:rFonts w:ascii="Times New Roman" w:hAnsi="Times New Roman"/>
                <w:color w:val="000000"/>
                <w:sz w:val="28"/>
                <w:szCs w:val="28"/>
              </w:rPr>
              <w:t>20 мг один раз в две недели</w:t>
            </w:r>
          </w:p>
        </w:tc>
      </w:tr>
      <w:tr w:rsidR="005F499E" w:rsidRPr="00613D39" w14:paraId="6EAD22D1" w14:textId="77777777" w:rsidTr="004E0142">
        <w:trPr>
          <w:trHeight w:val="904"/>
          <w:tblHeader/>
        </w:trPr>
        <w:tc>
          <w:tcPr>
            <w:tcW w:w="1049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FFFFFF"/>
            <w:vAlign w:val="center"/>
            <w:hideMark/>
          </w:tcPr>
          <w:p w14:paraId="1662A603" w14:textId="77777777" w:rsidR="005F499E" w:rsidRPr="00613D39" w:rsidRDefault="005F499E" w:rsidP="00797ED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39">
              <w:rPr>
                <w:rFonts w:ascii="Times New Roman" w:hAnsi="Times New Roman"/>
                <w:color w:val="000000"/>
                <w:sz w:val="28"/>
                <w:szCs w:val="28"/>
              </w:rPr>
              <w:t>≥ 40 кг</w:t>
            </w:r>
          </w:p>
        </w:tc>
        <w:tc>
          <w:tcPr>
            <w:tcW w:w="2469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FFFFFF"/>
            <w:hideMark/>
          </w:tcPr>
          <w:p w14:paraId="618790BD" w14:textId="3672B455" w:rsidR="005F499E" w:rsidRPr="00613D39" w:rsidRDefault="005F499E" w:rsidP="005F4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3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80 мг на 0 неделе и 40 мг на </w:t>
            </w:r>
            <w:r w:rsidR="005728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613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неделе </w:t>
            </w:r>
          </w:p>
          <w:p w14:paraId="28C87FB9" w14:textId="77777777" w:rsidR="005F499E" w:rsidRPr="00613D39" w:rsidRDefault="005F499E" w:rsidP="005F499E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3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необходимо получить более быстрый клинический ответ, то можно использовать следующую дозу, но при этом стоит учитывать, что риск нежелательных реакций может быть выше при использовании более высокой индукционной дозы:</w:t>
            </w:r>
          </w:p>
          <w:p w14:paraId="2ED8A69D" w14:textId="5CBA0C35" w:rsidR="005F499E" w:rsidRPr="00613D39" w:rsidRDefault="005F499E" w:rsidP="005F499E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160 мг на 0 неделе и 80 мг на </w:t>
            </w:r>
            <w:r w:rsidR="00572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 w:rsidRPr="00613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неделе </w:t>
            </w:r>
          </w:p>
        </w:tc>
        <w:tc>
          <w:tcPr>
            <w:tcW w:w="1482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FFFFFF"/>
            <w:vAlign w:val="center"/>
            <w:hideMark/>
          </w:tcPr>
          <w:p w14:paraId="487C96AC" w14:textId="77777777" w:rsidR="005F499E" w:rsidRPr="00613D39" w:rsidRDefault="005F499E" w:rsidP="004E0142">
            <w:pPr>
              <w:tabs>
                <w:tab w:val="left" w:pos="540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39">
              <w:rPr>
                <w:rFonts w:ascii="Times New Roman" w:hAnsi="Times New Roman"/>
                <w:color w:val="000000"/>
                <w:sz w:val="28"/>
                <w:szCs w:val="28"/>
              </w:rPr>
              <w:t>40 мг один раз в две недели</w:t>
            </w:r>
          </w:p>
        </w:tc>
      </w:tr>
    </w:tbl>
    <w:p w14:paraId="031DA012" w14:textId="77777777" w:rsidR="005F499E" w:rsidRPr="00613D39" w:rsidRDefault="005F499E" w:rsidP="005F499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</w:p>
    <w:p w14:paraId="229274A2" w14:textId="77777777" w:rsidR="005F499E" w:rsidRPr="00613D39" w:rsidRDefault="005F499E" w:rsidP="005F499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Пациентам, у которых наблюдается уменьшение ответа на лечение </w:t>
      </w:r>
      <w:r w:rsidR="00CF480F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препарата </w:t>
      </w:r>
      <w:proofErr w:type="spellStart"/>
      <w:r w:rsidR="00CF480F">
        <w:rPr>
          <w:rFonts w:ascii="Times New Roman" w:eastAsia="MS Mincho" w:hAnsi="Times New Roman"/>
          <w:sz w:val="28"/>
          <w:szCs w:val="28"/>
          <w:lang w:eastAsia="ja-JP" w:bidi="bo-CN"/>
        </w:rPr>
        <w:t>Адалира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, могут получать дополнительный эффект от увеличения введения </w:t>
      </w:r>
      <w:r w:rsidR="00CF480F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препарата </w:t>
      </w:r>
      <w:proofErr w:type="spellStart"/>
      <w:r w:rsidR="00CF480F">
        <w:rPr>
          <w:rFonts w:ascii="Times New Roman" w:eastAsia="MS Mincho" w:hAnsi="Times New Roman"/>
          <w:sz w:val="28"/>
          <w:szCs w:val="28"/>
          <w:lang w:eastAsia="ja-JP" w:bidi="bo-CN"/>
        </w:rPr>
        <w:t>Адалира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:</w:t>
      </w:r>
    </w:p>
    <w:p w14:paraId="67913721" w14:textId="77777777" w:rsidR="005F499E" w:rsidRPr="00613D39" w:rsidRDefault="005F499E" w:rsidP="005F499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- пациенты с массой тела менее 40 кг: 20 мг один раз в неделю;</w:t>
      </w:r>
    </w:p>
    <w:p w14:paraId="48FCDA62" w14:textId="77777777" w:rsidR="005F499E" w:rsidRPr="00613D39" w:rsidRDefault="005F499E" w:rsidP="005F499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- пациенты с массой тела 40 кг и более: 40 мг один раз в неделю или 80 мг один раз в две недели.</w:t>
      </w:r>
    </w:p>
    <w:p w14:paraId="2752C2EF" w14:textId="77777777" w:rsidR="005F499E" w:rsidRPr="00613D39" w:rsidRDefault="005F499E" w:rsidP="005F499E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Применение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у детей младше 6</w:t>
      </w:r>
      <w:r w:rsidR="00134FCF"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лет с болезнью Крона не изучало</w:t>
      </w: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сь.</w:t>
      </w:r>
    </w:p>
    <w:p w14:paraId="2D0D22CB" w14:textId="77777777" w:rsidR="00134FCF" w:rsidRPr="00613D39" w:rsidRDefault="00126C6E" w:rsidP="00134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613D39">
        <w:rPr>
          <w:rFonts w:ascii="Times New Roman" w:hAnsi="Times New Roman"/>
          <w:iCs/>
          <w:sz w:val="28"/>
          <w:szCs w:val="28"/>
          <w:u w:val="single"/>
        </w:rPr>
        <w:t>Я</w:t>
      </w:r>
      <w:r w:rsidR="00134FCF" w:rsidRPr="00613D39">
        <w:rPr>
          <w:rFonts w:ascii="Times New Roman" w:hAnsi="Times New Roman"/>
          <w:iCs/>
          <w:sz w:val="28"/>
          <w:szCs w:val="28"/>
          <w:u w:val="single"/>
        </w:rPr>
        <w:t>звенный колит</w:t>
      </w:r>
      <w:r w:rsidRPr="00613D39">
        <w:rPr>
          <w:rFonts w:ascii="Times New Roman" w:hAnsi="Times New Roman"/>
          <w:iCs/>
          <w:sz w:val="28"/>
          <w:szCs w:val="28"/>
          <w:u w:val="single"/>
        </w:rPr>
        <w:t xml:space="preserve"> у детей</w:t>
      </w:r>
    </w:p>
    <w:p w14:paraId="6BFC82A9" w14:textId="77777777" w:rsidR="00134FCF" w:rsidRPr="00613D39" w:rsidRDefault="00134FCF" w:rsidP="00134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13D39">
        <w:rPr>
          <w:rFonts w:ascii="Times New Roman" w:hAnsi="Times New Roman"/>
          <w:iCs/>
          <w:sz w:val="28"/>
          <w:szCs w:val="28"/>
        </w:rPr>
        <w:t xml:space="preserve">Рекомендуемая доза </w:t>
      </w:r>
      <w:r w:rsidR="006D0D5D">
        <w:rPr>
          <w:rFonts w:ascii="Times New Roman" w:hAnsi="Times New Roman"/>
          <w:iCs/>
          <w:sz w:val="28"/>
          <w:szCs w:val="28"/>
        </w:rPr>
        <w:t xml:space="preserve">препарата </w:t>
      </w:r>
      <w:proofErr w:type="spellStart"/>
      <w:r w:rsidR="006D0D5D">
        <w:rPr>
          <w:rFonts w:ascii="Times New Roman" w:hAnsi="Times New Roman"/>
          <w:iCs/>
          <w:sz w:val="28"/>
          <w:szCs w:val="28"/>
        </w:rPr>
        <w:t>Адалира</w:t>
      </w:r>
      <w:proofErr w:type="spellEnd"/>
      <w:r w:rsidR="006D0D5D">
        <w:rPr>
          <w:rFonts w:ascii="Times New Roman" w:hAnsi="Times New Roman"/>
          <w:iCs/>
          <w:sz w:val="28"/>
          <w:szCs w:val="28"/>
        </w:rPr>
        <w:t xml:space="preserve"> </w:t>
      </w:r>
      <w:r w:rsidRPr="00613D39">
        <w:rPr>
          <w:rFonts w:ascii="Times New Roman" w:hAnsi="Times New Roman"/>
          <w:iCs/>
          <w:sz w:val="28"/>
          <w:szCs w:val="28"/>
        </w:rPr>
        <w:t xml:space="preserve">для пациентов в возрасте от 6 до 17 лет с язвенным колитом определяется исходя из массы тела пациента (таблица 5). </w:t>
      </w:r>
      <w:proofErr w:type="spellStart"/>
      <w:r w:rsidR="006D0D5D">
        <w:rPr>
          <w:rFonts w:ascii="Times New Roman" w:hAnsi="Times New Roman"/>
          <w:iCs/>
          <w:sz w:val="28"/>
          <w:szCs w:val="28"/>
        </w:rPr>
        <w:t>Адалира</w:t>
      </w:r>
      <w:proofErr w:type="spellEnd"/>
      <w:r w:rsidRPr="00613D39">
        <w:rPr>
          <w:rFonts w:ascii="Times New Roman" w:hAnsi="Times New Roman"/>
          <w:iCs/>
          <w:sz w:val="28"/>
          <w:szCs w:val="28"/>
        </w:rPr>
        <w:t xml:space="preserve"> вводится подкожно.</w:t>
      </w:r>
    </w:p>
    <w:p w14:paraId="512D8115" w14:textId="77777777" w:rsidR="00134FCF" w:rsidRPr="00613D39" w:rsidRDefault="00134FCF" w:rsidP="00134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13D39">
        <w:rPr>
          <w:rFonts w:ascii="Times New Roman" w:hAnsi="Times New Roman"/>
          <w:bCs/>
          <w:iCs/>
          <w:sz w:val="28"/>
          <w:szCs w:val="28"/>
        </w:rPr>
        <w:t xml:space="preserve">Таблица 5. Определение дозы препарата </w:t>
      </w:r>
      <w:proofErr w:type="spellStart"/>
      <w:r w:rsidRPr="00613D39">
        <w:rPr>
          <w:rFonts w:ascii="Times New Roman" w:hAnsi="Times New Roman"/>
          <w:bCs/>
          <w:iCs/>
          <w:sz w:val="28"/>
          <w:szCs w:val="28"/>
        </w:rPr>
        <w:t>Адали</w:t>
      </w:r>
      <w:r w:rsidR="00650E43">
        <w:rPr>
          <w:rFonts w:ascii="Times New Roman" w:hAnsi="Times New Roman"/>
          <w:bCs/>
          <w:iCs/>
          <w:sz w:val="28"/>
          <w:szCs w:val="28"/>
        </w:rPr>
        <w:t>ра</w:t>
      </w:r>
      <w:proofErr w:type="spellEnd"/>
      <w:r w:rsidRPr="00613D39">
        <w:rPr>
          <w:rFonts w:ascii="Times New Roman" w:hAnsi="Times New Roman"/>
          <w:bCs/>
          <w:iCs/>
          <w:sz w:val="28"/>
          <w:szCs w:val="28"/>
        </w:rPr>
        <w:t xml:space="preserve"> для пациентов детского возраста с язвенным колитом</w:t>
      </w:r>
    </w:p>
    <w:tbl>
      <w:tblPr>
        <w:tblW w:w="9102" w:type="dxa"/>
        <w:tblBorders>
          <w:top w:val="outset" w:sz="6" w:space="0" w:color="7B7B7B"/>
          <w:left w:val="outset" w:sz="6" w:space="0" w:color="7B7B7B"/>
          <w:bottom w:val="outset" w:sz="6" w:space="0" w:color="7B7B7B"/>
          <w:right w:val="outset" w:sz="6" w:space="0" w:color="7B7B7B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9"/>
        <w:gridCol w:w="4145"/>
        <w:gridCol w:w="2678"/>
      </w:tblGrid>
      <w:tr w:rsidR="00134FCF" w:rsidRPr="00613D39" w14:paraId="3F30F8FC" w14:textId="77777777" w:rsidTr="00F31F01">
        <w:tc>
          <w:tcPr>
            <w:tcW w:w="1252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vAlign w:val="center"/>
            <w:hideMark/>
          </w:tcPr>
          <w:p w14:paraId="59BDEDDA" w14:textId="77777777" w:rsidR="00134FCF" w:rsidRPr="00613D39" w:rsidRDefault="00134FCF" w:rsidP="00797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>Масса тела</w:t>
            </w:r>
          </w:p>
        </w:tc>
        <w:tc>
          <w:tcPr>
            <w:tcW w:w="2277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vAlign w:val="center"/>
            <w:hideMark/>
          </w:tcPr>
          <w:p w14:paraId="665A9B43" w14:textId="77777777" w:rsidR="00134FCF" w:rsidRPr="00613D39" w:rsidRDefault="00134FCF" w:rsidP="00797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>Начальная доза</w:t>
            </w:r>
          </w:p>
        </w:tc>
        <w:tc>
          <w:tcPr>
            <w:tcW w:w="1471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vAlign w:val="center"/>
            <w:hideMark/>
          </w:tcPr>
          <w:p w14:paraId="3D0335BA" w14:textId="77777777" w:rsidR="00134FCF" w:rsidRPr="00613D39" w:rsidRDefault="00134FCF" w:rsidP="00797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>Поддерживающая доза с недели 4*</w:t>
            </w:r>
          </w:p>
        </w:tc>
      </w:tr>
      <w:tr w:rsidR="00134FCF" w:rsidRPr="00613D39" w14:paraId="47C10169" w14:textId="77777777" w:rsidTr="00F31F01">
        <w:tc>
          <w:tcPr>
            <w:tcW w:w="1252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vAlign w:val="center"/>
            <w:hideMark/>
          </w:tcPr>
          <w:p w14:paraId="54CCC246" w14:textId="77777777" w:rsidR="00134FCF" w:rsidRPr="00613D39" w:rsidRDefault="00134FCF" w:rsidP="00797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>&lt;40 кг</w:t>
            </w:r>
          </w:p>
        </w:tc>
        <w:tc>
          <w:tcPr>
            <w:tcW w:w="2277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hideMark/>
          </w:tcPr>
          <w:p w14:paraId="4E45D264" w14:textId="77777777" w:rsidR="00134FCF" w:rsidRPr="00613D39" w:rsidRDefault="00134FCF" w:rsidP="00134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 xml:space="preserve">80 мг на неделе 0 (две инъекции по 40 мг в один день) и 40 мг </w:t>
            </w: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неделе 2 (одна инъекция 40 мг)</w:t>
            </w:r>
          </w:p>
        </w:tc>
        <w:tc>
          <w:tcPr>
            <w:tcW w:w="1471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vAlign w:val="center"/>
            <w:hideMark/>
          </w:tcPr>
          <w:p w14:paraId="67A533CC" w14:textId="77777777" w:rsidR="00134FCF" w:rsidRPr="00613D39" w:rsidRDefault="00134FCF" w:rsidP="004E0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40 мг один раз в две недели</w:t>
            </w:r>
          </w:p>
        </w:tc>
      </w:tr>
      <w:tr w:rsidR="00134FCF" w:rsidRPr="00613D39" w14:paraId="75BCCA4C" w14:textId="77777777" w:rsidTr="00F31F01">
        <w:tc>
          <w:tcPr>
            <w:tcW w:w="1252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vAlign w:val="center"/>
            <w:hideMark/>
          </w:tcPr>
          <w:p w14:paraId="525FECFD" w14:textId="77777777" w:rsidR="00134FCF" w:rsidRPr="00613D39" w:rsidRDefault="00134FCF" w:rsidP="00797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>≥ 40 кг</w:t>
            </w:r>
          </w:p>
        </w:tc>
        <w:tc>
          <w:tcPr>
            <w:tcW w:w="2277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hideMark/>
          </w:tcPr>
          <w:p w14:paraId="45138991" w14:textId="7485157F" w:rsidR="00134FCF" w:rsidRPr="00613D39" w:rsidRDefault="00134FCF" w:rsidP="00134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>160 мг на</w:t>
            </w:r>
            <w:r w:rsidR="005728CD">
              <w:rPr>
                <w:rFonts w:ascii="Times New Roman" w:hAnsi="Times New Roman"/>
                <w:iCs/>
                <w:sz w:val="28"/>
                <w:szCs w:val="28"/>
              </w:rPr>
              <w:t xml:space="preserve"> 0 </w:t>
            </w:r>
            <w:proofErr w:type="gramStart"/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>неделе  (</w:t>
            </w:r>
            <w:proofErr w:type="gramEnd"/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 xml:space="preserve">четыре инъекции по 40 мг в один день или две инъекции по 40 мг в день в течение двух дней подряд) и 80 мг на </w:t>
            </w:r>
            <w:r w:rsidR="005728CD">
              <w:rPr>
                <w:rFonts w:ascii="Times New Roman" w:hAnsi="Times New Roman"/>
                <w:iCs/>
                <w:sz w:val="28"/>
                <w:szCs w:val="28"/>
              </w:rPr>
              <w:t xml:space="preserve">2 </w:t>
            </w: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>неделе  (две инъекции по 40 мг в один день)</w:t>
            </w:r>
          </w:p>
        </w:tc>
        <w:tc>
          <w:tcPr>
            <w:tcW w:w="1471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vAlign w:val="center"/>
            <w:hideMark/>
          </w:tcPr>
          <w:p w14:paraId="1991497C" w14:textId="77777777" w:rsidR="00134FCF" w:rsidRPr="00613D39" w:rsidRDefault="00134FCF" w:rsidP="004E0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>80 мг один раз в две недели</w:t>
            </w:r>
          </w:p>
        </w:tc>
      </w:tr>
      <w:tr w:rsidR="00134FCF" w:rsidRPr="00613D39" w14:paraId="19F40FDD" w14:textId="77777777" w:rsidTr="00F31F01">
        <w:tc>
          <w:tcPr>
            <w:tcW w:w="5000" w:type="pct"/>
            <w:gridSpan w:val="3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auto"/>
            <w:hideMark/>
          </w:tcPr>
          <w:p w14:paraId="66A9C4E9" w14:textId="77777777" w:rsidR="00134FCF" w:rsidRPr="00613D39" w:rsidRDefault="00134FCF" w:rsidP="007D3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13D39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*</w:t>
            </w: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 xml:space="preserve">пациенты детского возраста, которым исполняется 18 лет во время приема </w:t>
            </w:r>
            <w:r w:rsidR="007D303B">
              <w:rPr>
                <w:rFonts w:ascii="Times New Roman" w:hAnsi="Times New Roman"/>
                <w:iCs/>
                <w:sz w:val="28"/>
                <w:szCs w:val="28"/>
              </w:rPr>
              <w:t xml:space="preserve">препарата </w:t>
            </w:r>
            <w:proofErr w:type="spellStart"/>
            <w:r w:rsidR="007D303B">
              <w:rPr>
                <w:rFonts w:ascii="Times New Roman" w:hAnsi="Times New Roman"/>
                <w:iCs/>
                <w:sz w:val="28"/>
                <w:szCs w:val="28"/>
              </w:rPr>
              <w:t>Адалира</w:t>
            </w:r>
            <w:proofErr w:type="spellEnd"/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>, должны продолжать прием назначенной поддерживающей дозы препарата.</w:t>
            </w:r>
          </w:p>
        </w:tc>
      </w:tr>
    </w:tbl>
    <w:p w14:paraId="4311565F" w14:textId="77777777" w:rsidR="00762134" w:rsidRPr="00613D39" w:rsidRDefault="00762134" w:rsidP="0091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0B2B4020" w14:textId="77777777" w:rsidR="00635899" w:rsidRPr="00613D39" w:rsidRDefault="00134FCF" w:rsidP="0091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13D39">
        <w:rPr>
          <w:rFonts w:ascii="Times New Roman" w:hAnsi="Times New Roman"/>
          <w:iCs/>
          <w:sz w:val="28"/>
          <w:szCs w:val="28"/>
        </w:rPr>
        <w:t xml:space="preserve">Применение </w:t>
      </w:r>
      <w:proofErr w:type="spellStart"/>
      <w:r w:rsidRPr="00613D39">
        <w:rPr>
          <w:rFonts w:ascii="Times New Roman" w:hAnsi="Times New Roman"/>
          <w:iCs/>
          <w:sz w:val="28"/>
          <w:szCs w:val="28"/>
        </w:rPr>
        <w:t>адалимумаба</w:t>
      </w:r>
      <w:proofErr w:type="spellEnd"/>
      <w:r w:rsidRPr="00613D39">
        <w:rPr>
          <w:rFonts w:ascii="Times New Roman" w:hAnsi="Times New Roman"/>
          <w:iCs/>
          <w:sz w:val="28"/>
          <w:szCs w:val="28"/>
        </w:rPr>
        <w:t xml:space="preserve"> у детей младше 6 лет с язвенным колитом не изучалось.</w:t>
      </w:r>
    </w:p>
    <w:p w14:paraId="1547B54A" w14:textId="77777777" w:rsidR="002437EA" w:rsidRPr="00613D39" w:rsidRDefault="002437EA" w:rsidP="0024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613D39">
        <w:rPr>
          <w:rFonts w:ascii="Times New Roman" w:hAnsi="Times New Roman"/>
          <w:bCs/>
          <w:iCs/>
          <w:sz w:val="28"/>
          <w:szCs w:val="28"/>
          <w:u w:val="single"/>
        </w:rPr>
        <w:t xml:space="preserve">Увеит у детей </w:t>
      </w:r>
    </w:p>
    <w:p w14:paraId="7B028B0E" w14:textId="77777777" w:rsidR="002B7761" w:rsidRPr="002B7761" w:rsidRDefault="002437EA" w:rsidP="002B7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13D39">
        <w:rPr>
          <w:rFonts w:ascii="Times New Roman" w:hAnsi="Times New Roman"/>
          <w:iCs/>
          <w:sz w:val="28"/>
          <w:szCs w:val="28"/>
        </w:rPr>
        <w:t xml:space="preserve">Рекомендуемая доза </w:t>
      </w:r>
      <w:r w:rsidR="00656056">
        <w:rPr>
          <w:rFonts w:ascii="Times New Roman" w:hAnsi="Times New Roman"/>
          <w:iCs/>
          <w:sz w:val="28"/>
          <w:szCs w:val="28"/>
        </w:rPr>
        <w:t xml:space="preserve">препарата </w:t>
      </w:r>
      <w:proofErr w:type="spellStart"/>
      <w:r w:rsidR="00656056">
        <w:rPr>
          <w:rFonts w:ascii="Times New Roman" w:hAnsi="Times New Roman"/>
          <w:iCs/>
          <w:sz w:val="28"/>
          <w:szCs w:val="28"/>
        </w:rPr>
        <w:t>Адалира</w:t>
      </w:r>
      <w:proofErr w:type="spellEnd"/>
      <w:r w:rsidRPr="00613D39">
        <w:rPr>
          <w:rFonts w:ascii="Times New Roman" w:hAnsi="Times New Roman"/>
          <w:iCs/>
          <w:sz w:val="28"/>
          <w:szCs w:val="28"/>
        </w:rPr>
        <w:t xml:space="preserve"> для пациентов с хроническим неинфекционным увеитом в возрасте от 2 лет основана на массе тела, как представлено ниже (таблица 6). </w:t>
      </w:r>
      <w:proofErr w:type="spellStart"/>
      <w:r w:rsidRPr="00613D39">
        <w:rPr>
          <w:rFonts w:ascii="Times New Roman" w:hAnsi="Times New Roman"/>
          <w:iCs/>
          <w:sz w:val="28"/>
          <w:szCs w:val="28"/>
        </w:rPr>
        <w:t>Адали</w:t>
      </w:r>
      <w:r w:rsidR="00656056">
        <w:rPr>
          <w:rFonts w:ascii="Times New Roman" w:hAnsi="Times New Roman"/>
          <w:iCs/>
          <w:sz w:val="28"/>
          <w:szCs w:val="28"/>
        </w:rPr>
        <w:t>ра</w:t>
      </w:r>
      <w:proofErr w:type="spellEnd"/>
      <w:r w:rsidRPr="00613D39">
        <w:rPr>
          <w:rFonts w:ascii="Times New Roman" w:hAnsi="Times New Roman"/>
          <w:iCs/>
          <w:sz w:val="28"/>
          <w:szCs w:val="28"/>
        </w:rPr>
        <w:t xml:space="preserve"> вводится подкожно. </w:t>
      </w:r>
      <w:r w:rsidR="00613633" w:rsidRPr="00613633">
        <w:rPr>
          <w:rFonts w:ascii="Times New Roman" w:hAnsi="Times New Roman"/>
          <w:iCs/>
          <w:sz w:val="28"/>
          <w:szCs w:val="28"/>
        </w:rPr>
        <w:t xml:space="preserve">Отсутствует опыт применения </w:t>
      </w:r>
      <w:proofErr w:type="spellStart"/>
      <w:r w:rsidR="00613633" w:rsidRPr="00613633">
        <w:rPr>
          <w:rFonts w:ascii="Times New Roman" w:hAnsi="Times New Roman"/>
          <w:iCs/>
          <w:sz w:val="28"/>
          <w:szCs w:val="28"/>
        </w:rPr>
        <w:t>адалимумаба</w:t>
      </w:r>
      <w:proofErr w:type="spellEnd"/>
      <w:r w:rsidR="00613633" w:rsidRPr="00613633">
        <w:rPr>
          <w:rFonts w:ascii="Times New Roman" w:hAnsi="Times New Roman"/>
          <w:iCs/>
          <w:sz w:val="28"/>
          <w:szCs w:val="28"/>
        </w:rPr>
        <w:t xml:space="preserve"> у детей для лечения увеита без</w:t>
      </w:r>
      <w:r w:rsidR="00613633">
        <w:rPr>
          <w:rFonts w:ascii="Times New Roman" w:hAnsi="Times New Roman"/>
          <w:iCs/>
          <w:sz w:val="28"/>
          <w:szCs w:val="28"/>
        </w:rPr>
        <w:t xml:space="preserve"> метотрексата.</w:t>
      </w:r>
    </w:p>
    <w:p w14:paraId="2B9D9A9D" w14:textId="77777777" w:rsidR="002437EA" w:rsidRPr="00613D39" w:rsidRDefault="002437EA" w:rsidP="0024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13D39">
        <w:rPr>
          <w:rFonts w:ascii="Times New Roman" w:hAnsi="Times New Roman"/>
          <w:iCs/>
          <w:sz w:val="28"/>
          <w:szCs w:val="28"/>
        </w:rPr>
        <w:t xml:space="preserve">Таблица 6. Определение дозы препарата </w:t>
      </w:r>
      <w:proofErr w:type="spellStart"/>
      <w:r w:rsidRPr="00613D39">
        <w:rPr>
          <w:rFonts w:ascii="Times New Roman" w:hAnsi="Times New Roman"/>
          <w:iCs/>
          <w:sz w:val="28"/>
          <w:szCs w:val="28"/>
        </w:rPr>
        <w:t>Адали</w:t>
      </w:r>
      <w:r w:rsidR="00650E43">
        <w:rPr>
          <w:rFonts w:ascii="Times New Roman" w:hAnsi="Times New Roman"/>
          <w:iCs/>
          <w:sz w:val="28"/>
          <w:szCs w:val="28"/>
        </w:rPr>
        <w:t>ра</w:t>
      </w:r>
      <w:proofErr w:type="spellEnd"/>
      <w:r w:rsidRPr="00613D39">
        <w:rPr>
          <w:rFonts w:ascii="Times New Roman" w:hAnsi="Times New Roman"/>
          <w:iCs/>
          <w:sz w:val="28"/>
          <w:szCs w:val="28"/>
        </w:rPr>
        <w:t xml:space="preserve"> для пациентов детского возраста с неинфекционным увеитом</w:t>
      </w:r>
    </w:p>
    <w:tbl>
      <w:tblPr>
        <w:tblW w:w="493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0"/>
        <w:gridCol w:w="5414"/>
      </w:tblGrid>
      <w:tr w:rsidR="005B42FD" w:rsidRPr="00613D39" w14:paraId="0F038F1E" w14:textId="77777777" w:rsidTr="005B42FD">
        <w:trPr>
          <w:trHeight w:val="42"/>
          <w:jc w:val="center"/>
        </w:trPr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13CB2" w14:textId="77777777" w:rsidR="002437EA" w:rsidRPr="00613D39" w:rsidRDefault="002437EA" w:rsidP="00797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bookmarkStart w:id="2" w:name="_GoBack"/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>Масса тела</w:t>
            </w:r>
          </w:p>
        </w:tc>
        <w:tc>
          <w:tcPr>
            <w:tcW w:w="3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25353" w14:textId="77777777" w:rsidR="002437EA" w:rsidRPr="00613D39" w:rsidRDefault="002437EA" w:rsidP="00797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>Рекомендованная доза</w:t>
            </w:r>
          </w:p>
        </w:tc>
      </w:tr>
      <w:tr w:rsidR="005B42FD" w:rsidRPr="00613D39" w14:paraId="08B4D214" w14:textId="77777777" w:rsidTr="00797ED8">
        <w:trPr>
          <w:trHeight w:val="296"/>
          <w:jc w:val="center"/>
        </w:trPr>
        <w:tc>
          <w:tcPr>
            <w:tcW w:w="1997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FFFFFF"/>
            <w:vAlign w:val="center"/>
            <w:hideMark/>
          </w:tcPr>
          <w:p w14:paraId="16961DF6" w14:textId="77777777" w:rsidR="002437EA" w:rsidRPr="00613D39" w:rsidRDefault="002437EA" w:rsidP="00797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>&lt;30 кг</w:t>
            </w:r>
          </w:p>
        </w:tc>
        <w:tc>
          <w:tcPr>
            <w:tcW w:w="3003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FFFFFF"/>
            <w:hideMark/>
          </w:tcPr>
          <w:p w14:paraId="1808125A" w14:textId="77777777" w:rsidR="002437EA" w:rsidRPr="00613D39" w:rsidRDefault="002437EA" w:rsidP="00243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>20 мг один раз в две недели в комбинации с метотрексатом. Возможно применение начальной дозы 40 мг за 1 неделю до начала поддерживающей терапии. Нет данных о применении начальной дозы 40 мг у детей младше 6 лет.</w:t>
            </w:r>
          </w:p>
        </w:tc>
      </w:tr>
      <w:tr w:rsidR="005B42FD" w:rsidRPr="00613D39" w14:paraId="51832F24" w14:textId="77777777" w:rsidTr="00797ED8">
        <w:trPr>
          <w:trHeight w:val="217"/>
          <w:jc w:val="center"/>
        </w:trPr>
        <w:tc>
          <w:tcPr>
            <w:tcW w:w="1997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FFFFFF"/>
            <w:vAlign w:val="center"/>
            <w:hideMark/>
          </w:tcPr>
          <w:p w14:paraId="1BEBF267" w14:textId="77777777" w:rsidR="002437EA" w:rsidRPr="00613D39" w:rsidRDefault="002437EA" w:rsidP="00797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>≥ 30 кг</w:t>
            </w:r>
          </w:p>
        </w:tc>
        <w:tc>
          <w:tcPr>
            <w:tcW w:w="3003" w:type="pct"/>
            <w:tcBorders>
              <w:top w:val="outset" w:sz="6" w:space="0" w:color="7B7B7B"/>
              <w:left w:val="outset" w:sz="6" w:space="0" w:color="7B7B7B"/>
              <w:bottom w:val="outset" w:sz="6" w:space="0" w:color="7B7B7B"/>
              <w:right w:val="outset" w:sz="6" w:space="0" w:color="7B7B7B"/>
            </w:tcBorders>
            <w:shd w:val="clear" w:color="auto" w:fill="FFFFFF"/>
            <w:hideMark/>
          </w:tcPr>
          <w:p w14:paraId="45BF288B" w14:textId="77777777" w:rsidR="002437EA" w:rsidRPr="00613D39" w:rsidRDefault="002437EA" w:rsidP="00243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13D39">
              <w:rPr>
                <w:rFonts w:ascii="Times New Roman" w:hAnsi="Times New Roman"/>
                <w:iCs/>
                <w:sz w:val="28"/>
                <w:szCs w:val="28"/>
              </w:rPr>
              <w:t>40 мг один раз в две недели в комбинации с метотрексатом. Возможно применение начальной дозы 80 мг за 1 неделю до начала поддерживающей терапии.</w:t>
            </w:r>
          </w:p>
        </w:tc>
      </w:tr>
      <w:bookmarkEnd w:id="2"/>
    </w:tbl>
    <w:p w14:paraId="30B45F55" w14:textId="77777777" w:rsidR="002437EA" w:rsidRPr="00613D39" w:rsidRDefault="002437EA" w:rsidP="0024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12B9FEE6" w14:textId="77777777" w:rsidR="002437EA" w:rsidRPr="00613D39" w:rsidRDefault="002437EA" w:rsidP="00243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13D39">
        <w:rPr>
          <w:rFonts w:ascii="Times New Roman" w:hAnsi="Times New Roman"/>
          <w:iCs/>
          <w:sz w:val="28"/>
          <w:szCs w:val="28"/>
        </w:rPr>
        <w:t xml:space="preserve">Нет данных о применении </w:t>
      </w:r>
      <w:proofErr w:type="spellStart"/>
      <w:r w:rsidRPr="00613D39">
        <w:rPr>
          <w:rFonts w:ascii="Times New Roman" w:hAnsi="Times New Roman"/>
          <w:iCs/>
          <w:sz w:val="28"/>
          <w:szCs w:val="28"/>
        </w:rPr>
        <w:t>адалимумаба</w:t>
      </w:r>
      <w:proofErr w:type="spellEnd"/>
      <w:r w:rsidRPr="00613D39">
        <w:rPr>
          <w:rFonts w:ascii="Times New Roman" w:hAnsi="Times New Roman"/>
          <w:iCs/>
          <w:sz w:val="28"/>
          <w:szCs w:val="28"/>
        </w:rPr>
        <w:t xml:space="preserve"> у детей младше 2 лет.</w:t>
      </w:r>
    </w:p>
    <w:p w14:paraId="047467D1" w14:textId="77777777" w:rsidR="00134FCF" w:rsidRPr="00613D39" w:rsidRDefault="002437EA" w:rsidP="0091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13D39">
        <w:rPr>
          <w:rFonts w:ascii="Times New Roman" w:hAnsi="Times New Roman"/>
          <w:iCs/>
          <w:sz w:val="28"/>
          <w:szCs w:val="28"/>
        </w:rPr>
        <w:t>Перед началом лечения рекомендуется оценить пользу и возможные риски длительной терапии.</w:t>
      </w:r>
    </w:p>
    <w:p w14:paraId="00BF817D" w14:textId="77777777" w:rsidR="005C2ED7" w:rsidRPr="00613D39" w:rsidRDefault="005C2ED7" w:rsidP="005C2ED7">
      <w:pPr>
        <w:spacing w:after="0" w:line="240" w:lineRule="auto"/>
        <w:jc w:val="both"/>
        <w:rPr>
          <w:rFonts w:ascii="Times New Roman" w:eastAsia="MS Mincho" w:hAnsi="Times New Roman"/>
          <w:i/>
          <w:iCs/>
          <w:sz w:val="28"/>
          <w:szCs w:val="28"/>
          <w:lang w:eastAsia="ru-RU"/>
        </w:rPr>
      </w:pPr>
      <w:r w:rsidRPr="00613D39">
        <w:rPr>
          <w:rFonts w:ascii="Times New Roman" w:eastAsia="MS Mincho" w:hAnsi="Times New Roman"/>
          <w:i/>
          <w:iCs/>
          <w:sz w:val="28"/>
          <w:szCs w:val="28"/>
          <w:lang w:eastAsia="ru-RU"/>
        </w:rPr>
        <w:t>Пациенты пожилого возраста</w:t>
      </w:r>
    </w:p>
    <w:p w14:paraId="4DD7539A" w14:textId="77777777" w:rsidR="005C2ED7" w:rsidRPr="00613D39" w:rsidRDefault="005C2ED7" w:rsidP="005C2ED7">
      <w:pPr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lang w:eastAsia="ru-RU"/>
        </w:rPr>
      </w:pPr>
      <w:r w:rsidRPr="00613D39">
        <w:rPr>
          <w:rFonts w:ascii="Times New Roman" w:eastAsia="MS Mincho" w:hAnsi="Times New Roman"/>
          <w:iCs/>
          <w:sz w:val="28"/>
          <w:szCs w:val="28"/>
          <w:lang w:eastAsia="ru-RU"/>
        </w:rPr>
        <w:t>Коррекция дозы для данной группы пациентов не требуется.</w:t>
      </w:r>
    </w:p>
    <w:p w14:paraId="58AF27D1" w14:textId="77777777" w:rsidR="005C2ED7" w:rsidRPr="00613D39" w:rsidRDefault="005C2ED7" w:rsidP="005C2ED7">
      <w:pPr>
        <w:spacing w:after="0" w:line="240" w:lineRule="auto"/>
        <w:jc w:val="both"/>
        <w:rPr>
          <w:rFonts w:ascii="Times New Roman" w:eastAsia="MS Mincho" w:hAnsi="Times New Roman"/>
          <w:i/>
          <w:iCs/>
          <w:sz w:val="28"/>
          <w:szCs w:val="28"/>
          <w:lang w:eastAsia="ru-RU"/>
        </w:rPr>
      </w:pPr>
      <w:r w:rsidRPr="00613D39">
        <w:rPr>
          <w:rFonts w:ascii="Times New Roman" w:eastAsia="MS Mincho" w:hAnsi="Times New Roman"/>
          <w:i/>
          <w:iCs/>
          <w:sz w:val="28"/>
          <w:szCs w:val="28"/>
          <w:lang w:eastAsia="ru-RU"/>
        </w:rPr>
        <w:t>Пациенты с почечной недостаточностью</w:t>
      </w:r>
    </w:p>
    <w:p w14:paraId="52975F4E" w14:textId="77777777" w:rsidR="005C2ED7" w:rsidRPr="00613D39" w:rsidRDefault="005C2ED7" w:rsidP="005C2ED7">
      <w:pPr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lang w:eastAsia="ru-RU"/>
        </w:rPr>
      </w:pPr>
      <w:r w:rsidRPr="00613D39"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Применение </w:t>
      </w:r>
      <w:proofErr w:type="spellStart"/>
      <w:r w:rsidRPr="00613D39">
        <w:rPr>
          <w:rFonts w:ascii="Times New Roman" w:eastAsia="MS Mincho" w:hAnsi="Times New Roman"/>
          <w:iCs/>
          <w:sz w:val="28"/>
          <w:szCs w:val="28"/>
          <w:lang w:eastAsia="ru-RU"/>
        </w:rPr>
        <w:t>адалимумаба</w:t>
      </w:r>
      <w:proofErr w:type="spellEnd"/>
      <w:r w:rsidRPr="00613D39"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 у данной группы пациентов не изучалось. Информация о необходимости коррекции дозы для данной группы пациентов отсутствует.</w:t>
      </w:r>
    </w:p>
    <w:p w14:paraId="14302023" w14:textId="77777777" w:rsidR="005C2ED7" w:rsidRPr="00613D39" w:rsidRDefault="005C2ED7" w:rsidP="005C2ED7">
      <w:pPr>
        <w:spacing w:after="0" w:line="240" w:lineRule="auto"/>
        <w:jc w:val="both"/>
        <w:rPr>
          <w:rFonts w:ascii="Times New Roman" w:eastAsia="MS Mincho" w:hAnsi="Times New Roman"/>
          <w:i/>
          <w:iCs/>
          <w:sz w:val="28"/>
          <w:szCs w:val="28"/>
          <w:lang w:eastAsia="ru-RU"/>
        </w:rPr>
      </w:pPr>
      <w:r w:rsidRPr="00613D39">
        <w:rPr>
          <w:rFonts w:ascii="Times New Roman" w:eastAsia="MS Mincho" w:hAnsi="Times New Roman"/>
          <w:i/>
          <w:iCs/>
          <w:sz w:val="28"/>
          <w:szCs w:val="28"/>
          <w:lang w:eastAsia="ru-RU"/>
        </w:rPr>
        <w:t>Пациенты с печеночной недостаточностью</w:t>
      </w:r>
    </w:p>
    <w:p w14:paraId="154D884E" w14:textId="77777777" w:rsidR="006D712E" w:rsidRPr="00613D39" w:rsidRDefault="005C2ED7">
      <w:pPr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lang w:eastAsia="ru-RU"/>
        </w:rPr>
      </w:pPr>
      <w:r w:rsidRPr="00613D39">
        <w:rPr>
          <w:rFonts w:ascii="Times New Roman" w:eastAsia="MS Mincho" w:hAnsi="Times New Roman"/>
          <w:iCs/>
          <w:sz w:val="28"/>
          <w:szCs w:val="28"/>
          <w:lang w:eastAsia="ru-RU"/>
        </w:rPr>
        <w:lastRenderedPageBreak/>
        <w:t xml:space="preserve">Применение </w:t>
      </w:r>
      <w:proofErr w:type="spellStart"/>
      <w:r w:rsidRPr="00613D39">
        <w:rPr>
          <w:rFonts w:ascii="Times New Roman" w:eastAsia="MS Mincho" w:hAnsi="Times New Roman"/>
          <w:iCs/>
          <w:sz w:val="28"/>
          <w:szCs w:val="28"/>
          <w:lang w:eastAsia="ru-RU"/>
        </w:rPr>
        <w:t>адалимумаба</w:t>
      </w:r>
      <w:proofErr w:type="spellEnd"/>
      <w:r w:rsidRPr="00613D39">
        <w:rPr>
          <w:rFonts w:ascii="Times New Roman" w:eastAsia="MS Mincho" w:hAnsi="Times New Roman"/>
          <w:iCs/>
          <w:sz w:val="28"/>
          <w:szCs w:val="28"/>
          <w:lang w:eastAsia="ru-RU"/>
        </w:rPr>
        <w:t xml:space="preserve"> у данной группы пациентов не изучалось. Информация о необходимости коррекции дозы для данной группы пациентов отсутствует. </w:t>
      </w:r>
    </w:p>
    <w:p w14:paraId="5A72C48B" w14:textId="77777777" w:rsidR="005C4B12" w:rsidRPr="00613D39" w:rsidRDefault="00DB406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13D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</w:p>
    <w:p w14:paraId="7FEAE8C6" w14:textId="77777777" w:rsidR="008D76BC" w:rsidRPr="00613D39" w:rsidRDefault="008D76BC" w:rsidP="008D76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2175220276"/>
      <w:bookmarkEnd w:id="1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Лечение препаратом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Адали</w:t>
      </w:r>
      <w:r w:rsidR="00650E43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проводиться под контролем врача. </w:t>
      </w:r>
    </w:p>
    <w:p w14:paraId="71F103CA" w14:textId="77777777" w:rsidR="008D76BC" w:rsidRPr="00613D39" w:rsidRDefault="008D76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Если врач считает это возможным, после соответствующего обучения технике подкожных инъекций пациенты могут самостоятельно вводить себе препарат.</w:t>
      </w:r>
    </w:p>
    <w:p w14:paraId="462B52FF" w14:textId="77777777" w:rsidR="00F774DF" w:rsidRPr="00613D39" w:rsidRDefault="00F774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Адали</w:t>
      </w:r>
      <w:r w:rsidR="00650E43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вводят подкожно в область бедра или живота. Раствор следует осмотреть перед введением на предмет наличия посторонних частиц и изменения цвета. </w:t>
      </w:r>
      <w:r w:rsidR="004B605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 </w:t>
      </w:r>
      <w:proofErr w:type="spellStart"/>
      <w:r w:rsidR="004B605D">
        <w:rPr>
          <w:rFonts w:ascii="Times New Roman" w:eastAsia="Times New Roman" w:hAnsi="Times New Roman"/>
          <w:sz w:val="28"/>
          <w:szCs w:val="28"/>
          <w:lang w:eastAsia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следует смешивать в одном шприце с любыми другими лекарственными препаратами. Оставшийся раствор и использованные материалы следует утилизировать.</w:t>
      </w:r>
    </w:p>
    <w:p w14:paraId="071BC8CC" w14:textId="77777777" w:rsidR="00A524D3" w:rsidRPr="00613D39" w:rsidRDefault="007C0024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Инструкция по подготовке и проведению инъекции препарата </w:t>
      </w:r>
      <w:proofErr w:type="spellStart"/>
      <w:r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>Адали</w:t>
      </w:r>
      <w:r w:rsidR="00963E5C">
        <w:rPr>
          <w:rFonts w:ascii="Times New Roman" w:eastAsia="Times New Roman" w:hAnsi="Times New Roman"/>
          <w:i/>
          <w:sz w:val="28"/>
          <w:szCs w:val="28"/>
          <w:lang w:eastAsia="ru-RU"/>
        </w:rPr>
        <w:t>ра</w:t>
      </w:r>
      <w:proofErr w:type="spellEnd"/>
    </w:p>
    <w:p w14:paraId="4FF2EA83" w14:textId="77777777" w:rsidR="00AD11BD" w:rsidRPr="00613D39" w:rsidRDefault="00AD11BD" w:rsidP="00911F02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1. </w:t>
      </w:r>
      <w:r w:rsidR="007C0024"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>Подготовка</w:t>
      </w:r>
    </w:p>
    <w:p w14:paraId="351B8A78" w14:textId="77777777" w:rsidR="00EF4E73" w:rsidRPr="00613D39" w:rsidRDefault="009C77B6" w:rsidP="00911F02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1914F62" wp14:editId="0E9F2B10">
            <wp:extent cx="2115185" cy="1597025"/>
            <wp:effectExtent l="0" t="0" r="0" b="3175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BE020" w14:textId="77777777" w:rsidR="00AD11BD" w:rsidRPr="00613D39" w:rsidRDefault="00AD11BD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7098A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Тщательно вымойте руки.</w:t>
      </w:r>
    </w:p>
    <w:p w14:paraId="02F23738" w14:textId="77777777" w:rsidR="00AD11BD" w:rsidRPr="00613D39" w:rsidRDefault="00AD11BD" w:rsidP="00F709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7098A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Достаньте из упаковки и положите на чистую поверхность один шприц с </w:t>
      </w:r>
      <w:r w:rsidR="009E67B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препаратом </w:t>
      </w:r>
      <w:proofErr w:type="spellStart"/>
      <w:proofErr w:type="gramStart"/>
      <w:r w:rsidR="009E67BC">
        <w:rPr>
          <w:rFonts w:ascii="Times New Roman" w:eastAsia="Times New Roman" w:hAnsi="Times New Roman"/>
          <w:sz w:val="28"/>
          <w:szCs w:val="28"/>
          <w:lang w:eastAsia="ru-RU"/>
        </w:rPr>
        <w:t>Адалира</w:t>
      </w:r>
      <w:proofErr w:type="spellEnd"/>
      <w:r w:rsidR="009E6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98A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="00F7098A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одну пропитанную спиртом салфетку.</w:t>
      </w:r>
    </w:p>
    <w:p w14:paraId="213D221B" w14:textId="77777777" w:rsidR="00AD11BD" w:rsidRPr="00613D39" w:rsidRDefault="00AD11BD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32043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Убедитесь, что срок хранения </w:t>
      </w:r>
      <w:r w:rsidR="009E67B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препарата </w:t>
      </w:r>
      <w:proofErr w:type="spellStart"/>
      <w:r w:rsidR="009E67BC">
        <w:rPr>
          <w:rFonts w:ascii="Times New Roman" w:eastAsia="Times New Roman" w:hAnsi="Times New Roman"/>
          <w:sz w:val="28"/>
          <w:szCs w:val="28"/>
          <w:lang w:eastAsia="ru-RU"/>
        </w:rPr>
        <w:t>Адалира</w:t>
      </w:r>
      <w:proofErr w:type="spellEnd"/>
      <w:r w:rsidR="00C32043" w:rsidRPr="00613D39">
        <w:rPr>
          <w:rFonts w:ascii="Times New Roman" w:eastAsia="Times New Roman" w:hAnsi="Times New Roman"/>
          <w:sz w:val="28"/>
          <w:szCs w:val="28"/>
          <w:lang w:eastAsia="ru-RU"/>
        </w:rPr>
        <w:t>, указанный на упаковке, не истек.</w:t>
      </w:r>
    </w:p>
    <w:p w14:paraId="41523995" w14:textId="77777777" w:rsidR="00C32043" w:rsidRPr="00613D39" w:rsidRDefault="00C32043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E50DB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 </w:t>
      </w:r>
      <w:proofErr w:type="spellStart"/>
      <w:r w:rsidR="004E50DB" w:rsidRPr="00613D39">
        <w:rPr>
          <w:rFonts w:ascii="Times New Roman" w:eastAsia="Times New Roman" w:hAnsi="Times New Roman"/>
          <w:sz w:val="28"/>
          <w:szCs w:val="28"/>
          <w:lang w:eastAsia="ru-RU"/>
        </w:rPr>
        <w:t>Адали</w:t>
      </w:r>
      <w:r w:rsidR="00963E5C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proofErr w:type="spellEnd"/>
      <w:r w:rsidR="004E50DB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собой опалесцирующий раствор светло-коричневого цвета. Не используйте препарат, если жидкость мутная, содержит хлопья или частицы, или цвет раствор изменен.</w:t>
      </w:r>
    </w:p>
    <w:p w14:paraId="0A77D675" w14:textId="77777777" w:rsidR="00AD11BD" w:rsidRPr="00613D39" w:rsidRDefault="00BF4455" w:rsidP="00911F02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2. </w:t>
      </w:r>
      <w:r w:rsidR="00AD11BD"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Выбор и подготовка места для инъекции </w:t>
      </w:r>
    </w:p>
    <w:p w14:paraId="326B0B5D" w14:textId="77777777" w:rsidR="00372552" w:rsidRPr="00613D39" w:rsidRDefault="009C77B6" w:rsidP="00911F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43AABB" wp14:editId="3DF977F7">
            <wp:extent cx="2005965" cy="1706245"/>
            <wp:effectExtent l="0" t="0" r="0" b="825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FC5DA" w14:textId="77777777" w:rsidR="007B03A3" w:rsidRPr="00613D39" w:rsidRDefault="00AD11BD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11F02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Выберите место для инъекции на </w:t>
      </w:r>
      <w:r w:rsidR="00372552" w:rsidRPr="00613D39">
        <w:rPr>
          <w:rFonts w:ascii="Times New Roman" w:eastAsia="Times New Roman" w:hAnsi="Times New Roman"/>
          <w:sz w:val="28"/>
          <w:szCs w:val="28"/>
          <w:lang w:eastAsia="ru-RU"/>
        </w:rPr>
        <w:t>передней поверхности бедра</w:t>
      </w: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животе.</w:t>
      </w:r>
    </w:p>
    <w:p w14:paraId="3F761895" w14:textId="77777777" w:rsidR="00AD3763" w:rsidRPr="00613D39" w:rsidRDefault="00AD3763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- Места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инъекци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стороны необходимо менять. </w:t>
      </w:r>
    </w:p>
    <w:p w14:paraId="3099E48C" w14:textId="77777777" w:rsidR="008C10E2" w:rsidRPr="00613D39" w:rsidRDefault="007B03A3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D11BD" w:rsidRPr="00613D39">
        <w:rPr>
          <w:rFonts w:ascii="Times New Roman" w:eastAsia="Times New Roman" w:hAnsi="Times New Roman"/>
          <w:sz w:val="28"/>
          <w:szCs w:val="28"/>
          <w:lang w:eastAsia="ru-RU"/>
        </w:rPr>
        <w:t>Кажд</w:t>
      </w:r>
      <w:r w:rsidR="008C10E2" w:rsidRPr="00613D39">
        <w:rPr>
          <w:rFonts w:ascii="Times New Roman" w:eastAsia="Times New Roman" w:hAnsi="Times New Roman"/>
          <w:sz w:val="28"/>
          <w:szCs w:val="28"/>
          <w:lang w:eastAsia="ru-RU"/>
        </w:rPr>
        <w:t>ое следующее место введения должно отступать от предыдущего как минимум на 3 см.</w:t>
      </w:r>
    </w:p>
    <w:p w14:paraId="1AE18F3A" w14:textId="77777777" w:rsidR="001B57A8" w:rsidRPr="00613D39" w:rsidRDefault="001B57A8" w:rsidP="0052761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527610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Нельзя вводить препарат в место на коже, где имеется болезненность, покраснение, уплотнение или кровоподтек. Эти признаки могут указывать на наличие инфекции.</w:t>
      </w:r>
    </w:p>
    <w:p w14:paraId="5A4058AB" w14:textId="77777777" w:rsidR="00527610" w:rsidRPr="00613D39" w:rsidRDefault="00527610" w:rsidP="0052761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- Место, выбранное для инъекции, необходимо обработать спиртовой салфеткой круговыми движениями.</w:t>
      </w:r>
    </w:p>
    <w:p w14:paraId="71968597" w14:textId="77777777" w:rsidR="00DC1B5D" w:rsidRPr="00613D39" w:rsidRDefault="00917633" w:rsidP="001B57A8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>3.</w:t>
      </w:r>
      <w:r w:rsidR="001B57A8"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Введение препарата </w:t>
      </w:r>
      <w:proofErr w:type="spellStart"/>
      <w:r w:rsidR="001B57A8"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>Адали</w:t>
      </w:r>
      <w:r w:rsidR="00963E5C">
        <w:rPr>
          <w:rFonts w:ascii="Times New Roman" w:eastAsia="Times New Roman" w:hAnsi="Times New Roman"/>
          <w:i/>
          <w:sz w:val="28"/>
          <w:szCs w:val="28"/>
          <w:lang w:eastAsia="ru-RU"/>
        </w:rPr>
        <w:t>ра</w:t>
      </w:r>
      <w:proofErr w:type="spellEnd"/>
    </w:p>
    <w:p w14:paraId="368FDA28" w14:textId="77777777" w:rsidR="001B57A8" w:rsidRPr="00613D39" w:rsidRDefault="001B57A8" w:rsidP="001B57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="00DC1B5D" w:rsidRPr="00613D39">
        <w:rPr>
          <w:rFonts w:ascii="Times New Roman" w:eastAsia="Times New Roman" w:hAnsi="Times New Roman"/>
          <w:sz w:val="28"/>
          <w:szCs w:val="28"/>
          <w:lang w:eastAsia="ru-RU"/>
        </w:rPr>
        <w:t>е встряхивайте</w:t>
      </w: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шприц.</w:t>
      </w:r>
    </w:p>
    <w:p w14:paraId="47B10460" w14:textId="77777777" w:rsidR="001B57A8" w:rsidRPr="00613D39" w:rsidRDefault="001B57A8" w:rsidP="001B57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DC1B5D" w:rsidRPr="00613D39">
        <w:rPr>
          <w:rFonts w:ascii="Times New Roman" w:eastAsia="Times New Roman" w:hAnsi="Times New Roman"/>
          <w:sz w:val="28"/>
          <w:szCs w:val="28"/>
          <w:lang w:eastAsia="ru-RU"/>
        </w:rPr>
        <w:t>нимите колпачок с иглы, не дотрагиваясь до иглы и избегая прикосновения к другим поверхностям.</w:t>
      </w:r>
    </w:p>
    <w:p w14:paraId="6D01BA87" w14:textId="77777777" w:rsidR="001B57A8" w:rsidRPr="00613D39" w:rsidRDefault="001B57A8" w:rsidP="001B57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- Одной рукой </w:t>
      </w:r>
      <w:r w:rsidR="003B5BE8" w:rsidRPr="00613D39">
        <w:rPr>
          <w:rFonts w:ascii="Times New Roman" w:eastAsia="Times New Roman" w:hAnsi="Times New Roman"/>
          <w:sz w:val="28"/>
          <w:szCs w:val="28"/>
          <w:lang w:eastAsia="ru-RU"/>
        </w:rPr>
        <w:t>возьмите в складку обработанную кожу.</w:t>
      </w:r>
    </w:p>
    <w:p w14:paraId="765DBD35" w14:textId="77777777" w:rsidR="00096B0B" w:rsidRPr="00613D39" w:rsidRDefault="00C40C94" w:rsidP="00C40C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96B0B" w:rsidRPr="00613D39">
        <w:rPr>
          <w:rFonts w:ascii="Times New Roman" w:eastAsia="Times New Roman" w:hAnsi="Times New Roman"/>
          <w:sz w:val="28"/>
          <w:szCs w:val="28"/>
          <w:lang w:eastAsia="ru-RU"/>
        </w:rPr>
        <w:t>В другую руку возьмите шприц, держа его под углом 45° к поверхности кожи, градуированной поверхностью вверх.</w:t>
      </w:r>
    </w:p>
    <w:p w14:paraId="05309750" w14:textId="77777777" w:rsidR="00C40C94" w:rsidRPr="00613D39" w:rsidRDefault="00DC1B5D" w:rsidP="00C40C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9C77B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7C02C4" wp14:editId="7E82F057">
            <wp:extent cx="2169795" cy="1637665"/>
            <wp:effectExtent l="0" t="0" r="1905" b="635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991AF" w14:textId="77777777" w:rsidR="00C40C94" w:rsidRPr="00613D39" w:rsidRDefault="00C40C94" w:rsidP="00C40C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- Одним быстрым движением </w:t>
      </w:r>
      <w:r w:rsidR="009143E4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полностью </w:t>
      </w: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вве</w:t>
      </w:r>
      <w:r w:rsidR="009143E4" w:rsidRPr="00613D39">
        <w:rPr>
          <w:rFonts w:ascii="Times New Roman" w:eastAsia="Times New Roman" w:hAnsi="Times New Roman"/>
          <w:sz w:val="28"/>
          <w:szCs w:val="28"/>
          <w:lang w:eastAsia="ru-RU"/>
        </w:rPr>
        <w:t>дите иглу в кожную складку</w:t>
      </w: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C6B433" w14:textId="77777777" w:rsidR="00C40C94" w:rsidRPr="00613D39" w:rsidRDefault="00C40C94" w:rsidP="00C40C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143E4" w:rsidRPr="00613D39">
        <w:rPr>
          <w:rFonts w:ascii="Times New Roman" w:eastAsia="Times New Roman" w:hAnsi="Times New Roman"/>
          <w:sz w:val="28"/>
          <w:szCs w:val="28"/>
          <w:lang w:eastAsia="ru-RU"/>
        </w:rPr>
        <w:t>После введения иглы отпустите складку кожи</w:t>
      </w:r>
    </w:p>
    <w:p w14:paraId="16FBE943" w14:textId="77777777" w:rsidR="009143E4" w:rsidRPr="00613D39" w:rsidRDefault="002D3725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2175220278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- Введите весь раствор в течение 2-5 секунд.</w:t>
      </w:r>
    </w:p>
    <w:p w14:paraId="593075EC" w14:textId="77777777" w:rsidR="002D3725" w:rsidRPr="00613D39" w:rsidRDefault="002D3725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- После введения раствора (когда шприц будет пустым) извлеките иглу из кожи, под тем же углом.</w:t>
      </w:r>
    </w:p>
    <w:p w14:paraId="3328BC9F" w14:textId="77777777" w:rsidR="002D3725" w:rsidRPr="00613D39" w:rsidRDefault="002D3725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- Кусочком марли слегка прижмите область инъекции в течение 10 секунд, но ни</w:t>
      </w:r>
      <w:r w:rsidR="00D278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в коем случае не трите поверхность. Из места инъекции может выделиться небольшое количество крови. При желании можно воспользоваться пластырем.</w:t>
      </w:r>
    </w:p>
    <w:p w14:paraId="3CD8EA17" w14:textId="77777777" w:rsidR="009143E4" w:rsidRPr="00613D39" w:rsidRDefault="002D3725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- После инъекции шприц повторно не использовать.</w:t>
      </w:r>
    </w:p>
    <w:p w14:paraId="68995563" w14:textId="77777777" w:rsidR="008B5C23" w:rsidRPr="00613D39" w:rsidRDefault="008B5C23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</w:p>
    <w:p w14:paraId="5D6D996B" w14:textId="77777777" w:rsidR="008B5C23" w:rsidRPr="00613D39" w:rsidRDefault="007813AC" w:rsidP="003A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4"/>
          <w:szCs w:val="24"/>
          <w:u w:val="single"/>
          <w:lang w:eastAsia="ja-JP" w:bidi="bo-CN"/>
        </w:rPr>
      </w:pPr>
      <w:r w:rsidRPr="00613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Ревматоидный артрит</w:t>
      </w:r>
      <w:r w:rsidR="00154AAE" w:rsidRPr="00613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="00154AAE" w:rsidRPr="00613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анкилозирующий</w:t>
      </w:r>
      <w:proofErr w:type="spellEnd"/>
      <w:r w:rsidR="00154AAE" w:rsidRPr="00613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спондилит, аксиальный спондилоартрит без рентгенографического подтверждения АС и </w:t>
      </w:r>
      <w:proofErr w:type="spellStart"/>
      <w:r w:rsidR="00154AAE" w:rsidRPr="00613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псориатический</w:t>
      </w:r>
      <w:proofErr w:type="spellEnd"/>
      <w:r w:rsidR="00154AAE" w:rsidRPr="00613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артрит</w:t>
      </w:r>
    </w:p>
    <w:p w14:paraId="50A391A2" w14:textId="77777777" w:rsidR="00E80C8C" w:rsidRPr="00613D39" w:rsidRDefault="00E80C8C" w:rsidP="00E8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 xml:space="preserve">Имеются данные о том, что клинический ответ обычно достигается в течение 12 недель лечения </w:t>
      </w:r>
      <w:proofErr w:type="spellStart"/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>адалимумабом</w:t>
      </w:r>
      <w:proofErr w:type="spellEnd"/>
      <w:r w:rsidRPr="00613D39">
        <w:rPr>
          <w:rFonts w:ascii="Times New Roman" w:eastAsia="MS Mincho" w:hAnsi="Times New Roman"/>
          <w:iCs/>
          <w:sz w:val="28"/>
          <w:szCs w:val="28"/>
          <w:lang w:eastAsia="ja-JP" w:bidi="bo-CN"/>
        </w:rPr>
        <w:t>. Если у пациента в течение данного периода времени не наблюдается клинический ответ на терапию, то следует рассмотреть вопрос о продолжении терапии.</w:t>
      </w:r>
    </w:p>
    <w:p w14:paraId="2E16E60B" w14:textId="77777777" w:rsidR="007813AC" w:rsidRPr="00613D39" w:rsidRDefault="00154AAE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spellStart"/>
      <w:r w:rsidRPr="00613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Бляшечный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псориаз у взрослых</w:t>
      </w:r>
    </w:p>
    <w:p w14:paraId="3F8406F1" w14:textId="77777777" w:rsidR="00910811" w:rsidRPr="00613D39" w:rsidRDefault="00154AAE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Если у пациента через 16 недель терапии не наблюдается клинический ответ на терапию, то следует рассмотреть вопрос о продолжении терапии.</w:t>
      </w:r>
    </w:p>
    <w:p w14:paraId="470B2850" w14:textId="77777777" w:rsidR="00910811" w:rsidRPr="00613D39" w:rsidRDefault="003A6F00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Гнойный гидраденит</w:t>
      </w:r>
      <w:r w:rsidR="00E34887" w:rsidRPr="00613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у взрослых</w:t>
      </w:r>
    </w:p>
    <w:p w14:paraId="121659F6" w14:textId="77777777" w:rsidR="003A6F00" w:rsidRPr="00613D39" w:rsidRDefault="003A6F00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тщательно пересмотреть продолжение терапии в период свыше 12 недель у пациентов, не достигших улучшений в течение данного периода </w:t>
      </w: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времени.</w:t>
      </w:r>
      <w:r w:rsidR="00E81B66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22B" w:rsidRPr="00613D39">
        <w:rPr>
          <w:rFonts w:ascii="Times New Roman" w:eastAsia="Times New Roman" w:hAnsi="Times New Roman"/>
          <w:sz w:val="28"/>
          <w:szCs w:val="28"/>
          <w:lang w:eastAsia="ru-RU"/>
        </w:rPr>
        <w:t>Следует периодически оценивать пользу и риск продолжения длительного лечения.</w:t>
      </w:r>
    </w:p>
    <w:p w14:paraId="7E85DE1F" w14:textId="77777777" w:rsidR="003A6F00" w:rsidRPr="00613D39" w:rsidRDefault="00E44E42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Болезнь Крона у взрослых</w:t>
      </w:r>
    </w:p>
    <w:p w14:paraId="70A74E75" w14:textId="77777777" w:rsidR="00E44E42" w:rsidRPr="00613D39" w:rsidRDefault="00E44E42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Некоторым пациентам, у которых не достигнут клинический ответ после 4 недель лечения, следует продолжать поддерживающую терапию до 12 недель. Следует тщательно пересмотреть необходимость продолжения терапии у пациентов, у которых в пределах этого срока не наблюдается клинический ответ.</w:t>
      </w:r>
    </w:p>
    <w:p w14:paraId="5D79E0CE" w14:textId="77777777" w:rsidR="00E44E42" w:rsidRPr="00613D39" w:rsidRDefault="001764A2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Язвенный колит у взрослых</w:t>
      </w:r>
    </w:p>
    <w:p w14:paraId="27B213E2" w14:textId="77777777" w:rsidR="001447DF" w:rsidRPr="00613D39" w:rsidRDefault="001447DF" w:rsidP="001447D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Клинический ответ может быть достигнут в течение 2–8 недель лечения.</w:t>
      </w:r>
    </w:p>
    <w:p w14:paraId="75B17ECB" w14:textId="77777777" w:rsidR="001764A2" w:rsidRPr="00613D39" w:rsidRDefault="001764A2" w:rsidP="001764A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Терапию </w:t>
      </w:r>
      <w:r w:rsidR="003309C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препаратом </w:t>
      </w:r>
      <w:proofErr w:type="spellStart"/>
      <w:r w:rsidR="003309C0">
        <w:rPr>
          <w:rFonts w:ascii="Times New Roman" w:eastAsia="Times New Roman" w:hAnsi="Times New Roman"/>
          <w:sz w:val="28"/>
          <w:szCs w:val="28"/>
          <w:lang w:eastAsia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продолжать только у тех пациентов, которые достигли клинического ответа в течение первых 8 недель лечения.</w:t>
      </w:r>
    </w:p>
    <w:p w14:paraId="355A2CB4" w14:textId="77777777" w:rsidR="001764A2" w:rsidRPr="00613D39" w:rsidRDefault="00FC0756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Увеит у взрослых</w:t>
      </w:r>
    </w:p>
    <w:p w14:paraId="5F71D213" w14:textId="77777777" w:rsidR="001764A2" w:rsidRPr="00613D39" w:rsidRDefault="00FC0756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Рекомендуется ежегодно оценивать пользу и риск продолжения длительного лечения.</w:t>
      </w:r>
    </w:p>
    <w:p w14:paraId="2C951731" w14:textId="77777777" w:rsidR="0005290C" w:rsidRPr="00613D39" w:rsidRDefault="0005290C" w:rsidP="0005290C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  <w:proofErr w:type="spellStart"/>
      <w:r w:rsidRPr="00613D39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Полиартикулярный</w:t>
      </w:r>
      <w:proofErr w:type="spellEnd"/>
      <w:r w:rsidRPr="00613D39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 юношеский идиопатический артрит</w:t>
      </w:r>
    </w:p>
    <w:p w14:paraId="6EA7890A" w14:textId="77777777" w:rsidR="00D805FB" w:rsidRPr="00613D39" w:rsidRDefault="00D805FB" w:rsidP="00D805F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Клинический ответ обычно достигается в течение 12 недель лечения. Решение о прекращении терапии может быть принято в случае, если не отмечается терапевтический эффект в течение указанного периода.</w:t>
      </w:r>
    </w:p>
    <w:p w14:paraId="2C414776" w14:textId="77777777" w:rsidR="00E57760" w:rsidRPr="00613D39" w:rsidRDefault="00E57760" w:rsidP="00D805F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Гнойный гидраденит у подростков</w:t>
      </w:r>
    </w:p>
    <w:p w14:paraId="5F5F3309" w14:textId="77777777" w:rsidR="00424031" w:rsidRPr="00613D39" w:rsidRDefault="00424031" w:rsidP="004240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тщательно оценить необходимость продолжения лечения </w:t>
      </w:r>
      <w:r w:rsidR="00E4009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препаратом </w:t>
      </w:r>
      <w:proofErr w:type="spellStart"/>
      <w:r w:rsidR="00E40092">
        <w:rPr>
          <w:rFonts w:ascii="Times New Roman" w:eastAsia="Times New Roman" w:hAnsi="Times New Roman"/>
          <w:sz w:val="28"/>
          <w:szCs w:val="28"/>
          <w:lang w:eastAsia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отсутствия ответа на терапию в течение 12 недель. Следует периодически проводить оценку пользы и риска при продолжительном долгосрочном приеме </w:t>
      </w:r>
      <w:r w:rsidR="00E4009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препарата </w:t>
      </w:r>
      <w:proofErr w:type="spellStart"/>
      <w:r w:rsidR="00E40092">
        <w:rPr>
          <w:rFonts w:ascii="Times New Roman" w:eastAsia="Times New Roman" w:hAnsi="Times New Roman"/>
          <w:sz w:val="28"/>
          <w:szCs w:val="28"/>
          <w:lang w:eastAsia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35D0CF" w14:textId="77777777" w:rsidR="00E57760" w:rsidRPr="00613D39" w:rsidRDefault="0070490B" w:rsidP="00D805F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Болезнь Крона у детей</w:t>
      </w:r>
    </w:p>
    <w:p w14:paraId="45988EA8" w14:textId="77777777" w:rsidR="0070490B" w:rsidRPr="00613D39" w:rsidRDefault="0070490B" w:rsidP="0070490B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Клинический ответ обычно достигается в течение 12 недель лечения. Решение о прекращении терапии может быть принято в случае, если пациент не получает эффекта от лечения в течение этого периода.</w:t>
      </w:r>
    </w:p>
    <w:p w14:paraId="08A5ADBC" w14:textId="77777777" w:rsidR="00126C6E" w:rsidRPr="00613D39" w:rsidRDefault="00126C6E" w:rsidP="00126C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Язвенный колит у детей</w:t>
      </w:r>
    </w:p>
    <w:p w14:paraId="5706AB96" w14:textId="77777777" w:rsidR="00126C6E" w:rsidRPr="00613D39" w:rsidRDefault="00126C6E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hAnsi="Times New Roman"/>
          <w:iCs/>
          <w:sz w:val="28"/>
          <w:szCs w:val="28"/>
        </w:rPr>
        <w:t xml:space="preserve">Следует тщательно оценить необходимость продолжения лечения </w:t>
      </w:r>
      <w:r w:rsidR="00732BC0">
        <w:rPr>
          <w:rFonts w:ascii="Times New Roman" w:hAnsi="Times New Roman"/>
          <w:iCs/>
          <w:sz w:val="28"/>
          <w:szCs w:val="28"/>
        </w:rPr>
        <w:t xml:space="preserve">Препаратом </w:t>
      </w:r>
      <w:proofErr w:type="spellStart"/>
      <w:r w:rsidR="00732BC0">
        <w:rPr>
          <w:rFonts w:ascii="Times New Roman" w:hAnsi="Times New Roman"/>
          <w:iCs/>
          <w:sz w:val="28"/>
          <w:szCs w:val="28"/>
        </w:rPr>
        <w:t>Адалира</w:t>
      </w:r>
      <w:proofErr w:type="spellEnd"/>
      <w:r w:rsidRPr="00613D39">
        <w:rPr>
          <w:rFonts w:ascii="Times New Roman" w:hAnsi="Times New Roman"/>
          <w:iCs/>
          <w:sz w:val="28"/>
          <w:szCs w:val="28"/>
        </w:rPr>
        <w:t xml:space="preserve"> в случае отсутствия ответа на терапию в течение 8 недель</w:t>
      </w:r>
      <w:r w:rsidR="00A96411" w:rsidRPr="00613D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F16C5D" w14:textId="77777777" w:rsidR="005C0348" w:rsidRPr="00613D39" w:rsidRDefault="005C0348" w:rsidP="00ED5491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</w:p>
    <w:bookmarkEnd w:id="4"/>
    <w:p w14:paraId="09D70195" w14:textId="77777777" w:rsidR="00BD288B" w:rsidRPr="00613D39" w:rsidRDefault="00BD288B" w:rsidP="00A9641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переносимая доза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адалимумаба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у человека не установлена. Повторное применение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адалимумаба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дозах до 10 мг/кг не сопровождалось токсическими эффектами, требовавшими уменьшения дозы. </w:t>
      </w:r>
    </w:p>
    <w:p w14:paraId="186463C8" w14:textId="77777777" w:rsidR="008B1829" w:rsidRPr="00613D39" w:rsidRDefault="008B1829" w:rsidP="00A9641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В случае введения большей дозы препарата, чем рекомендовано, пациенту необходимо сообщить об этом врачу. Пациенту необходимо всегда иметь при себе картонную пачку от препарата, даже если пачка пустая.</w:t>
      </w:r>
    </w:p>
    <w:p w14:paraId="5E54C167" w14:textId="77777777" w:rsidR="00A96411" w:rsidRPr="00613D39" w:rsidRDefault="008B5C23" w:rsidP="00A9641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необходимые при пропуске одной или нескольких доз лекарственного препарата</w:t>
      </w:r>
      <w:r w:rsidR="00A96411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48C6CC6" w14:textId="77777777" w:rsidR="008B5C23" w:rsidRPr="00613D39" w:rsidRDefault="00A96411" w:rsidP="00990F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очередная инъекция препарата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Адали</w:t>
      </w:r>
      <w:r w:rsidR="00963E5C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случайно пропущена, необходимо провести инъекцию сразу, как только это будет обнаружено. </w:t>
      </w: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Следующая инъекция должна быть проведена в соответствии с запланированным ранее графиком.</w:t>
      </w:r>
    </w:p>
    <w:p w14:paraId="4A35D866" w14:textId="77777777" w:rsidR="008B5C23" w:rsidRPr="00613D39" w:rsidRDefault="008B5C23" w:rsidP="00990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Указание на наличие риска симптомов отмены</w:t>
      </w:r>
    </w:p>
    <w:p w14:paraId="0EBB8D43" w14:textId="77777777" w:rsidR="008E7A4D" w:rsidRPr="00613D39" w:rsidRDefault="00C90104" w:rsidP="00990F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прекращении </w:t>
      </w:r>
      <w:r w:rsidR="00BD00EC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применения препарата </w:t>
      </w:r>
      <w:proofErr w:type="spellStart"/>
      <w:r w:rsidR="00BD00EC" w:rsidRPr="00613D39">
        <w:rPr>
          <w:rFonts w:ascii="Times New Roman" w:eastAsia="Times New Roman" w:hAnsi="Times New Roman"/>
          <w:sz w:val="28"/>
          <w:szCs w:val="28"/>
          <w:lang w:eastAsia="ru-RU"/>
        </w:rPr>
        <w:t>Адали</w:t>
      </w:r>
      <w:r w:rsidR="00963E5C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proofErr w:type="spellEnd"/>
      <w:r w:rsidR="00BD00EC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принимать врач</w:t>
      </w: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D00EC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Симптомы заболевания могут возобновиться в случае отмены </w:t>
      </w:r>
      <w:r w:rsidR="00D6677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препарата </w:t>
      </w:r>
      <w:proofErr w:type="spellStart"/>
      <w:r w:rsidR="00D66770">
        <w:rPr>
          <w:rFonts w:ascii="Times New Roman" w:eastAsia="Times New Roman" w:hAnsi="Times New Roman"/>
          <w:sz w:val="28"/>
          <w:szCs w:val="28"/>
          <w:lang w:eastAsia="ru-RU"/>
        </w:rPr>
        <w:t>Адалира</w:t>
      </w:r>
      <w:proofErr w:type="spellEnd"/>
      <w:r w:rsidR="00BD00EC" w:rsidRPr="00613D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26EC66" w14:textId="77777777" w:rsidR="004837F2" w:rsidRPr="00613D39" w:rsidRDefault="004837F2" w:rsidP="00990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0C47F394" w14:textId="77777777" w:rsidR="00571510" w:rsidRPr="00613D39" w:rsidRDefault="00571510" w:rsidP="0057151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Всегда принимайте препарат именно так, как рекомендовал врач. Если у Вас есть вопросы по применению препарата, проконсультируйтесь с Вашим лечащим врачом.</w:t>
      </w:r>
    </w:p>
    <w:p w14:paraId="3F58252B" w14:textId="77777777" w:rsidR="004837F2" w:rsidRPr="00613D39" w:rsidRDefault="004837F2" w:rsidP="00990F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3"/>
    <w:p w14:paraId="3396C980" w14:textId="77777777" w:rsidR="008E7A4D" w:rsidRPr="00613D39" w:rsidRDefault="008E7A4D" w:rsidP="00484EC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которые проявляются при стандартном применении лекарственного препарата и меры, которые следует принять в этом случае </w:t>
      </w:r>
    </w:p>
    <w:p w14:paraId="3ABCF609" w14:textId="77777777" w:rsidR="00C2743A" w:rsidRPr="00C2743A" w:rsidRDefault="00C2743A" w:rsidP="00D615ED">
      <w:pPr>
        <w:spacing w:after="0" w:line="240" w:lineRule="auto"/>
        <w:jc w:val="both"/>
        <w:rPr>
          <w:rFonts w:ascii="Times New Roman" w:eastAsia="MS Mincho" w:hAnsi="Times New Roman"/>
          <w:i/>
          <w:sz w:val="28"/>
          <w:szCs w:val="28"/>
          <w:lang w:eastAsia="ja-JP"/>
        </w:rPr>
      </w:pPr>
      <w:r w:rsidRPr="00C2743A">
        <w:rPr>
          <w:rFonts w:ascii="Times New Roman" w:eastAsia="MS Mincho" w:hAnsi="Times New Roman"/>
          <w:i/>
          <w:sz w:val="28"/>
          <w:szCs w:val="28"/>
          <w:lang w:eastAsia="ja-JP"/>
        </w:rPr>
        <w:t>Очень часто</w:t>
      </w:r>
    </w:p>
    <w:p w14:paraId="7E379C7F" w14:textId="77777777" w:rsidR="00F66CDD" w:rsidRDefault="00F66CDD" w:rsidP="00F66CD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инфекции дыхательных путей (включая инфекции нижних и верхних отделов дыхательных путей, пневмонию, синусит, фарингит,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ринофарингит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>, пневмонию, вызванную вирусом герпеса)</w:t>
      </w:r>
      <w:r w:rsidR="006038E4"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367B9D30" w14:textId="77777777" w:rsidR="00DA3CE4" w:rsidRDefault="00DA3CE4" w:rsidP="00F66CD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лейкопения (включая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нейтропен</w:t>
      </w:r>
      <w:r w:rsidR="0047030F">
        <w:rPr>
          <w:rFonts w:ascii="Times New Roman" w:eastAsia="MS Mincho" w:hAnsi="Times New Roman"/>
          <w:sz w:val="28"/>
          <w:szCs w:val="28"/>
          <w:lang w:eastAsia="ja-JP"/>
        </w:rPr>
        <w:t>ию</w:t>
      </w:r>
      <w:proofErr w:type="spellEnd"/>
      <w:r w:rsidR="0047030F">
        <w:rPr>
          <w:rFonts w:ascii="Times New Roman" w:eastAsia="MS Mincho" w:hAnsi="Times New Roman"/>
          <w:sz w:val="28"/>
          <w:szCs w:val="28"/>
          <w:lang w:eastAsia="ja-JP"/>
        </w:rPr>
        <w:t xml:space="preserve"> и агранулоцитоз), анемия;</w:t>
      </w:r>
    </w:p>
    <w:p w14:paraId="3F4A0764" w14:textId="77777777" w:rsidR="003D1B8C" w:rsidRDefault="003D1B8C" w:rsidP="00F66CD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повышение уровня липидов в крови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160A4FB6" w14:textId="77777777" w:rsidR="003B4993" w:rsidRDefault="003B4993" w:rsidP="00F66CD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головная боль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24A0BE6E" w14:textId="77777777" w:rsidR="003A7AE3" w:rsidRDefault="003A7AE3" w:rsidP="00F66CD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боль в животе, тошнота и рвота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45B6361C" w14:textId="77777777" w:rsidR="00E50D02" w:rsidRDefault="00E50D02" w:rsidP="00F66CD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повышение уровня печеночных ферментов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7A46BA31" w14:textId="77777777" w:rsidR="000B2C76" w:rsidRDefault="000B2C76" w:rsidP="00F66CD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сыпь (включая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эксфолиативную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 сыпь)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0661EAD5" w14:textId="77777777" w:rsidR="00E77CB3" w:rsidRDefault="00E77CB3" w:rsidP="00F66CD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скелетно-мышечная боль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757A98C2" w14:textId="77777777" w:rsidR="00C83FA1" w:rsidRPr="00613D39" w:rsidRDefault="00C83FA1" w:rsidP="00F66CD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реакции в месте введения (включая покраснение в месте введения)</w:t>
      </w:r>
      <w:r w:rsidR="006F1513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7B435132" w14:textId="77777777" w:rsidR="00C2743A" w:rsidRPr="006038E4" w:rsidRDefault="006038E4" w:rsidP="00D615ED">
      <w:pPr>
        <w:spacing w:after="0" w:line="240" w:lineRule="auto"/>
        <w:jc w:val="both"/>
        <w:rPr>
          <w:rFonts w:ascii="Times New Roman" w:eastAsia="MS Mincho" w:hAnsi="Times New Roman"/>
          <w:i/>
          <w:sz w:val="28"/>
          <w:szCs w:val="28"/>
          <w:lang w:eastAsia="ja-JP"/>
        </w:rPr>
      </w:pPr>
      <w:r w:rsidRPr="006038E4">
        <w:rPr>
          <w:rFonts w:ascii="Times New Roman" w:eastAsia="MS Mincho" w:hAnsi="Times New Roman"/>
          <w:i/>
          <w:sz w:val="28"/>
          <w:szCs w:val="28"/>
          <w:lang w:eastAsia="ja-JP"/>
        </w:rPr>
        <w:t>Часто</w:t>
      </w:r>
    </w:p>
    <w:p w14:paraId="608EDBC8" w14:textId="77777777" w:rsidR="006038E4" w:rsidRDefault="006038E4" w:rsidP="006038E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системные инфекции (включая сепсис, кандидоз и грипп), кишечные инфекции (включая вирусный гастроэнтерит), инфекции кожи и мягких тканей (паронихия, целлюлит, импетиго, некротический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фасцит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, опоясывающий герпес), инфекции уха, инфекции ротовой полости (включая герпес обычный, герпес ротовой полости и инфекции зубов), инфекции половых органов (включая грибковый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вульвовагинит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>), инфекции мочевыводящих путей (включая пиелонефрит, грибковые инфекции), инфекции суставов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639261CB" w14:textId="77777777" w:rsidR="00781618" w:rsidRDefault="00781618" w:rsidP="006038E4">
      <w:pPr>
        <w:spacing w:after="0" w:line="240" w:lineRule="auto"/>
        <w:jc w:val="both"/>
        <w:rPr>
          <w:rFonts w:ascii="Times New Roman" w:eastAsia="MS Mincho" w:hAnsi="Times New Roman"/>
          <w:i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рак кожи, за исключением меланомы (включая базальноклеточную карциному и плоскоклеточную карциному), д</w:t>
      </w:r>
      <w:r w:rsidR="00DD1C3E">
        <w:rPr>
          <w:rFonts w:ascii="Times New Roman" w:eastAsia="MS Mincho" w:hAnsi="Times New Roman"/>
          <w:sz w:val="28"/>
          <w:szCs w:val="28"/>
          <w:lang w:eastAsia="ja-JP" w:bidi="bo-CN"/>
        </w:rPr>
        <w:t>оброкачественное новообразование;</w:t>
      </w:r>
    </w:p>
    <w:p w14:paraId="01BE964C" w14:textId="77777777" w:rsidR="00DD1C3E" w:rsidRDefault="00DD1C3E" w:rsidP="006038E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тромбоцитопения, лейкоцитоз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07988428" w14:textId="77777777" w:rsidR="005D2CA4" w:rsidRDefault="005D2CA4" w:rsidP="006038E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гиперчувствительность, </w:t>
      </w:r>
      <w:r>
        <w:rPr>
          <w:rFonts w:ascii="Times New Roman" w:eastAsia="MS Mincho" w:hAnsi="Times New Roman"/>
          <w:sz w:val="28"/>
          <w:szCs w:val="28"/>
          <w:lang w:eastAsia="ja-JP"/>
        </w:rPr>
        <w:t>аллергия (в том числе сезонная);</w:t>
      </w:r>
    </w:p>
    <w:p w14:paraId="01129BE6" w14:textId="77777777" w:rsidR="003D1B8C" w:rsidRDefault="003D1B8C" w:rsidP="006038E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гипокалиемия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,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гиперурикемия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, отклонения от нормы концентрации, натрия в плазме крови,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гипокальциемия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, гипергликемия,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гипофосфатемия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>, дегидратация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41F374DA" w14:textId="77777777" w:rsidR="00EA452E" w:rsidRDefault="00EA452E" w:rsidP="006038E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изменения настроения (включая депрессию), тревога, </w:t>
      </w:r>
      <w:r>
        <w:rPr>
          <w:rFonts w:ascii="Times New Roman" w:eastAsia="MS Mincho" w:hAnsi="Times New Roman"/>
          <w:sz w:val="28"/>
          <w:szCs w:val="28"/>
          <w:lang w:eastAsia="ja-JP"/>
        </w:rPr>
        <w:t>бессонница;</w:t>
      </w:r>
    </w:p>
    <w:p w14:paraId="33D6A385" w14:textId="77777777" w:rsidR="00737459" w:rsidRDefault="00737459" w:rsidP="006038E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парестезия (включая гипестезию), мигрень, сдавление нервных корешков, цереброваскулярные нарушения</w:t>
      </w:r>
      <w:r w:rsidRPr="00613D39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1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4C4BF8F0" w14:textId="77777777" w:rsidR="00E4229F" w:rsidRDefault="00E4229F" w:rsidP="006038E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нарушение остроты зрения, конъюнктивит, блефарит, отек глаза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1999DDF1" w14:textId="77777777" w:rsidR="00C42038" w:rsidRDefault="00C42038" w:rsidP="006038E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вертиго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3EE4165B" w14:textId="77777777" w:rsidR="00CF52D1" w:rsidRDefault="00CF52D1" w:rsidP="006038E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тахикардия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4F3A768D" w14:textId="77777777" w:rsidR="001D2F04" w:rsidRDefault="001D2F04" w:rsidP="006038E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артериальная гипертензия, приливы, гематома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10E2E2BB" w14:textId="77777777" w:rsidR="00881872" w:rsidRDefault="00881872" w:rsidP="006038E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кашель, астма, диспноэ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6B20DBCD" w14:textId="77777777" w:rsidR="003A7AE3" w:rsidRDefault="003A7AE3" w:rsidP="006038E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желудочно-кишечные кровотечения, диспепсия,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гастроэзофагеальный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 рефлюкс, сухой синдром (синдром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Шегрена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>)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669D2654" w14:textId="77777777" w:rsidR="000B2C76" w:rsidRDefault="000B2C76" w:rsidP="006038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hAnsi="Times New Roman"/>
          <w:color w:val="000000"/>
          <w:sz w:val="28"/>
          <w:szCs w:val="28"/>
        </w:rPr>
        <w:t>ухудшение течения или новые случаи псориаза (включая ладонно-подошвенный пустулезный псориаз)</w:t>
      </w:r>
      <w:r w:rsidRPr="00613D39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613D39">
        <w:rPr>
          <w:rFonts w:ascii="Times New Roman" w:hAnsi="Times New Roman"/>
          <w:color w:val="000000"/>
          <w:sz w:val="28"/>
          <w:szCs w:val="28"/>
        </w:rPr>
        <w:t xml:space="preserve">, крапивница, </w:t>
      </w:r>
      <w:proofErr w:type="spellStart"/>
      <w:r w:rsidRPr="00613D39">
        <w:rPr>
          <w:rFonts w:ascii="Times New Roman" w:hAnsi="Times New Roman"/>
          <w:color w:val="000000"/>
          <w:sz w:val="28"/>
          <w:szCs w:val="28"/>
        </w:rPr>
        <w:t>экхимозы</w:t>
      </w:r>
      <w:proofErr w:type="spellEnd"/>
      <w:r w:rsidRPr="00613D39">
        <w:rPr>
          <w:rFonts w:ascii="Times New Roman" w:hAnsi="Times New Roman"/>
          <w:color w:val="000000"/>
          <w:sz w:val="28"/>
          <w:szCs w:val="28"/>
        </w:rPr>
        <w:t xml:space="preserve"> (включая пурпуру), дерматит (включая экзему), </w:t>
      </w:r>
      <w:proofErr w:type="spellStart"/>
      <w:r w:rsidRPr="00613D39">
        <w:rPr>
          <w:rFonts w:ascii="Times New Roman" w:hAnsi="Times New Roman"/>
          <w:color w:val="000000"/>
          <w:sz w:val="28"/>
          <w:szCs w:val="28"/>
        </w:rPr>
        <w:t>онихоклазия</w:t>
      </w:r>
      <w:proofErr w:type="spellEnd"/>
      <w:r w:rsidRPr="00613D39">
        <w:rPr>
          <w:rFonts w:ascii="Times New Roman" w:hAnsi="Times New Roman"/>
          <w:color w:val="000000"/>
          <w:sz w:val="28"/>
          <w:szCs w:val="28"/>
        </w:rPr>
        <w:t>, гипергидроз, алопеция</w:t>
      </w:r>
      <w:r w:rsidRPr="00613D39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 зуд;</w:t>
      </w:r>
    </w:p>
    <w:p w14:paraId="35D46338" w14:textId="77777777" w:rsidR="00C253B7" w:rsidRDefault="00C253B7" w:rsidP="006038E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мышечные спазмы (включая повышение уровня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креатинфосфокиназы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 в плазме крови)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2FEF3B1A" w14:textId="77777777" w:rsidR="0025321B" w:rsidRDefault="0025321B" w:rsidP="006038E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гематурия, почечная недостаточность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07BB3388" w14:textId="77777777" w:rsidR="00C83FA1" w:rsidRDefault="00C83FA1" w:rsidP="006038E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боль в груди, отек, пирексия</w:t>
      </w:r>
      <w:r w:rsidRPr="00613D39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1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33B4AF24" w14:textId="77777777" w:rsidR="0067121A" w:rsidRDefault="0067121A" w:rsidP="006038E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нарушение системы свертывания крови (включая увеличение активированного частично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тромбопластного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 времени (АЧТВ)), положительные тесты на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аутоантитела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 (включая антитела к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двухцепочечной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 ДНК), повышение уровня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лактатдегидрогеназы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 в плазме крови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35AFBD8A" w14:textId="77777777" w:rsidR="00AE3C53" w:rsidRPr="00372720" w:rsidRDefault="00AE3C53" w:rsidP="006038E4">
      <w:pPr>
        <w:spacing w:after="0" w:line="240" w:lineRule="auto"/>
        <w:jc w:val="both"/>
        <w:rPr>
          <w:rFonts w:ascii="Times New Roman" w:eastAsia="MS Mincho" w:hAnsi="Times New Roman"/>
          <w:i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медленное заживление</w:t>
      </w:r>
      <w:r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32071939" w14:textId="77777777" w:rsidR="00147043" w:rsidRDefault="00147043" w:rsidP="00147043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47043">
        <w:rPr>
          <w:rFonts w:ascii="Times New Roman" w:eastAsia="MS Mincho" w:hAnsi="Times New Roman"/>
          <w:i/>
          <w:sz w:val="28"/>
          <w:szCs w:val="28"/>
          <w:lang w:eastAsia="ja-JP"/>
        </w:rPr>
        <w:t>Нечасто</w:t>
      </w:r>
    </w:p>
    <w:p w14:paraId="555F5B20" w14:textId="77777777" w:rsidR="00147043" w:rsidRPr="00147043" w:rsidRDefault="00147043" w:rsidP="00147043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оппортунистические инфекции (включая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кокцидиоидомикоз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,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гистоплазмоз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 и инфекции </w:t>
      </w:r>
      <w:proofErr w:type="spellStart"/>
      <w:r w:rsidRPr="00613D39">
        <w:rPr>
          <w:rFonts w:ascii="Times New Roman" w:eastAsia="MS Mincho" w:hAnsi="Times New Roman"/>
          <w:i/>
          <w:sz w:val="28"/>
          <w:szCs w:val="28"/>
          <w:lang w:eastAsia="ja-JP"/>
        </w:rPr>
        <w:t>mycobacterium</w:t>
      </w:r>
      <w:proofErr w:type="spellEnd"/>
      <w:r w:rsidRPr="00613D39">
        <w:rPr>
          <w:rFonts w:ascii="Times New Roman" w:eastAsia="MS Mincho" w:hAnsi="Times New Roman"/>
          <w:i/>
          <w:sz w:val="28"/>
          <w:szCs w:val="28"/>
          <w:lang w:eastAsia="ja-JP"/>
        </w:rPr>
        <w:t xml:space="preserve"> </w:t>
      </w:r>
      <w:proofErr w:type="spellStart"/>
      <w:r w:rsidRPr="00613D39">
        <w:rPr>
          <w:rFonts w:ascii="Times New Roman" w:eastAsia="MS Mincho" w:hAnsi="Times New Roman"/>
          <w:i/>
          <w:sz w:val="28"/>
          <w:szCs w:val="28"/>
          <w:lang w:eastAsia="ja-JP"/>
        </w:rPr>
        <w:t>avium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 комплекса) и туберкулез, неврологические инфекции (включая вирусный менингит), инфекции глаза, бактериальные инфекции, </w:t>
      </w: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дивертикулит</w:t>
      </w:r>
      <w:r w:rsidRPr="00613D39">
        <w:rPr>
          <w:rFonts w:ascii="Times New Roman" w:eastAsia="MS Mincho" w:hAnsi="Times New Roman"/>
          <w:sz w:val="28"/>
          <w:szCs w:val="28"/>
          <w:vertAlign w:val="superscript"/>
          <w:lang w:eastAsia="ja-JP" w:bidi="bo-CN"/>
        </w:rPr>
        <w:t>1</w:t>
      </w:r>
      <w:r>
        <w:rPr>
          <w:rFonts w:ascii="Times New Roman" w:eastAsia="MS Mincho" w:hAnsi="Times New Roman"/>
          <w:sz w:val="28"/>
          <w:szCs w:val="28"/>
          <w:lang w:eastAsia="ja-JP" w:bidi="bo-CN"/>
        </w:rPr>
        <w:t>;</w:t>
      </w:r>
    </w:p>
    <w:p w14:paraId="4637B60A" w14:textId="77777777" w:rsidR="00781618" w:rsidRDefault="001F5E7A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="003B7382">
        <w:rPr>
          <w:rFonts w:ascii="Times New Roman" w:eastAsia="MS Mincho" w:hAnsi="Times New Roman"/>
          <w:sz w:val="28"/>
          <w:szCs w:val="28"/>
          <w:lang w:eastAsia="ja-JP"/>
        </w:rPr>
        <w:t>лимфома</w:t>
      </w:r>
      <w:r w:rsidRPr="001F5E7A">
        <w:rPr>
          <w:rFonts w:ascii="Times New Roman" w:eastAsia="MS Mincho" w:hAnsi="Times New Roman"/>
          <w:sz w:val="28"/>
          <w:szCs w:val="28"/>
          <w:lang w:eastAsia="ja-JP"/>
        </w:rPr>
        <w:t>*, новообразования паренхиматозных органов (включая рак молочной железы, опухоль легких и опухол</w:t>
      </w:r>
      <w:r w:rsidR="00813F70">
        <w:rPr>
          <w:rFonts w:ascii="Times New Roman" w:eastAsia="MS Mincho" w:hAnsi="Times New Roman"/>
          <w:sz w:val="28"/>
          <w:szCs w:val="28"/>
          <w:lang w:eastAsia="ja-JP"/>
        </w:rPr>
        <w:t>ь щитовидной железы), меланома*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624F682F" w14:textId="77777777" w:rsidR="002233DB" w:rsidRDefault="002233DB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идиопатическая тромбоцитопеническая пурпура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1B5CC904" w14:textId="77777777" w:rsidR="00B05FA2" w:rsidRDefault="00B05FA2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саркоидоз</w:t>
      </w:r>
      <w:r w:rsidRPr="00613D39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1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, васкулит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51984E2F" w14:textId="77777777" w:rsidR="00AA050F" w:rsidRDefault="00AA050F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тремор, нейропатия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5AFC2F99" w14:textId="77777777" w:rsidR="00E4229F" w:rsidRDefault="00E4229F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диплопия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17BAE836" w14:textId="77777777" w:rsidR="00DA3D97" w:rsidRDefault="00DA3D97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глухота,</w:t>
      </w:r>
      <w:r w:rsidR="00ED3973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звон в ушах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786B1B1B" w14:textId="77777777" w:rsidR="00B10043" w:rsidRDefault="00B10043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инфаркт миокарда</w:t>
      </w:r>
      <w:r w:rsidRPr="00613D39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1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, аритмия, хроническая сердечная недостаточность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3FFBE38E" w14:textId="77777777" w:rsidR="00983F75" w:rsidRDefault="00983F75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окклюзия артерий, тромбофлебит, аневризма аорты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3D558518" w14:textId="77777777" w:rsidR="00986B2B" w:rsidRDefault="00986B2B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эмболия легких</w:t>
      </w:r>
      <w:r w:rsidRPr="00613D39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1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, хроническая обструктивная болезнь легких, интерстициальное заболевание легких, пневмония, плевральный выпот</w:t>
      </w:r>
      <w:r w:rsidRPr="00613D39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1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14DFC0A3" w14:textId="77777777" w:rsidR="009D2131" w:rsidRDefault="009D2131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панкреатит, дисфагия, отек лица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66EDFBAA" w14:textId="77777777" w:rsidR="00E50D02" w:rsidRDefault="00E50D02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холецистит и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холелитиаз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, повышение уровня билирубина,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стеатоз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 печени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52DC896A" w14:textId="77777777" w:rsidR="002C2D32" w:rsidRDefault="002C2D32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ночная потливость, рубцы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71908D7C" w14:textId="77777777" w:rsidR="00F114E9" w:rsidRDefault="00F114E9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рабдомиолиз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>, системная красная волчанка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5190B00D" w14:textId="77777777" w:rsidR="009E77C5" w:rsidRDefault="009E77C5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-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никтурия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36BED30B" w14:textId="77777777" w:rsidR="002168AA" w:rsidRDefault="002168AA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эректильная дисфункция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51B30B30" w14:textId="77777777" w:rsidR="006163C9" w:rsidRPr="00372720" w:rsidRDefault="006163C9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воспаление</w:t>
      </w:r>
      <w:r w:rsidR="00CE376B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5CC10122" w14:textId="77777777" w:rsidR="00372720" w:rsidRPr="00372720" w:rsidRDefault="00477804" w:rsidP="00D615ED">
      <w:pPr>
        <w:spacing w:after="0" w:line="240" w:lineRule="auto"/>
        <w:jc w:val="both"/>
        <w:rPr>
          <w:rFonts w:ascii="Times New Roman" w:eastAsia="MS Mincho" w:hAnsi="Times New Roman"/>
          <w:i/>
          <w:sz w:val="28"/>
          <w:szCs w:val="28"/>
          <w:lang w:eastAsia="ja-JP"/>
        </w:rPr>
      </w:pPr>
      <w:r w:rsidRPr="00372720">
        <w:rPr>
          <w:rFonts w:ascii="Times New Roman" w:eastAsia="MS Mincho" w:hAnsi="Times New Roman"/>
          <w:i/>
          <w:sz w:val="28"/>
          <w:szCs w:val="28"/>
          <w:lang w:eastAsia="ja-JP"/>
        </w:rPr>
        <w:t>Р</w:t>
      </w:r>
      <w:r w:rsidR="00D615ED" w:rsidRPr="00372720">
        <w:rPr>
          <w:rFonts w:ascii="Times New Roman" w:eastAsia="MS Mincho" w:hAnsi="Times New Roman"/>
          <w:i/>
          <w:sz w:val="28"/>
          <w:szCs w:val="28"/>
          <w:lang w:eastAsia="ja-JP"/>
        </w:rPr>
        <w:t>едко</w:t>
      </w:r>
      <w:r w:rsidR="00D615ED" w:rsidRPr="00372720">
        <w:rPr>
          <w:rFonts w:ascii="Times New Roman" w:eastAsia="MS Mincho" w:hAnsi="Times New Roman"/>
          <w:i/>
          <w:sz w:val="28"/>
          <w:szCs w:val="28"/>
          <w:lang w:eastAsia="ja-JP"/>
        </w:rPr>
        <w:tab/>
      </w:r>
    </w:p>
    <w:p w14:paraId="7355673D" w14:textId="77777777" w:rsidR="0044480F" w:rsidRDefault="00372720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="0044480F" w:rsidRPr="00613D39">
        <w:rPr>
          <w:rFonts w:ascii="Times New Roman" w:eastAsia="MS Mincho" w:hAnsi="Times New Roman"/>
          <w:sz w:val="28"/>
          <w:szCs w:val="28"/>
          <w:lang w:eastAsia="ja-JP"/>
        </w:rPr>
        <w:t>лейкемия</w:t>
      </w:r>
      <w:r w:rsidR="0044480F" w:rsidRPr="00613D39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1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2E6692F6" w14:textId="77777777" w:rsidR="004D66AE" w:rsidRDefault="004D66AE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панцитопения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3020AE53" w14:textId="77777777" w:rsidR="00B05FA2" w:rsidRDefault="00B05FA2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анафилаксия</w:t>
      </w:r>
      <w:r w:rsidRPr="00613D39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1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70CC8083" w14:textId="77777777" w:rsidR="00240FE8" w:rsidRDefault="00240FE8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рассеянный склероз,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демиелинизирующие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 заболевания (например, неврит зрительного нерва, синдром Гийена-Барре</w:t>
      </w:r>
      <w:r w:rsidRPr="00613D39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1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)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706B240A" w14:textId="77777777" w:rsidR="000C4E36" w:rsidRDefault="000C4E36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остановка сердца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5952769D" w14:textId="77777777" w:rsidR="00661932" w:rsidRDefault="00661932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фиброз легких</w:t>
      </w:r>
      <w:r w:rsidRPr="00613D39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1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4B9D3CED" w14:textId="77777777" w:rsidR="001F1FB6" w:rsidRDefault="001F1FB6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перфорация кишечника</w:t>
      </w:r>
      <w:r w:rsidRPr="00613D39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1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6A372C68" w14:textId="77777777" w:rsidR="00E50D02" w:rsidRDefault="00E50D02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реактивация гепатита В</w:t>
      </w:r>
      <w:r w:rsidRPr="00613D39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1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, аутоиммунный гепатит</w:t>
      </w:r>
      <w:r w:rsidRPr="00613D39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1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61AF8997" w14:textId="77777777" w:rsidR="00933A95" w:rsidRDefault="00933A95" w:rsidP="00D615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proofErr w:type="spellStart"/>
      <w:r w:rsidRPr="00613D39">
        <w:rPr>
          <w:rFonts w:ascii="Times New Roman" w:hAnsi="Times New Roman"/>
          <w:color w:val="000000"/>
          <w:sz w:val="28"/>
          <w:szCs w:val="28"/>
        </w:rPr>
        <w:t>мультиформная</w:t>
      </w:r>
      <w:proofErr w:type="spellEnd"/>
      <w:r w:rsidRPr="00613D39">
        <w:rPr>
          <w:rFonts w:ascii="Times New Roman" w:hAnsi="Times New Roman"/>
          <w:color w:val="000000"/>
          <w:sz w:val="28"/>
          <w:szCs w:val="28"/>
        </w:rPr>
        <w:t xml:space="preserve"> эритема</w:t>
      </w:r>
      <w:r w:rsidRPr="00613D39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613D39">
        <w:rPr>
          <w:rFonts w:ascii="Times New Roman" w:hAnsi="Times New Roman"/>
          <w:color w:val="000000"/>
          <w:sz w:val="28"/>
          <w:szCs w:val="28"/>
        </w:rPr>
        <w:t>,</w:t>
      </w:r>
      <w:r w:rsidRPr="00613D3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613D39">
        <w:rPr>
          <w:rFonts w:ascii="Times New Roman" w:hAnsi="Times New Roman"/>
          <w:color w:val="000000"/>
          <w:sz w:val="28"/>
          <w:szCs w:val="28"/>
        </w:rPr>
        <w:t>синдром Стивенса-Джонсона</w:t>
      </w:r>
      <w:r w:rsidRPr="00613D39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613D39">
        <w:rPr>
          <w:rFonts w:ascii="Times New Roman" w:hAnsi="Times New Roman"/>
          <w:color w:val="000000"/>
          <w:sz w:val="28"/>
          <w:szCs w:val="28"/>
        </w:rPr>
        <w:t>, ангионевротический отек</w:t>
      </w:r>
      <w:r w:rsidRPr="00613D39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613D39">
        <w:rPr>
          <w:rFonts w:ascii="Times New Roman" w:hAnsi="Times New Roman"/>
          <w:color w:val="000000"/>
          <w:sz w:val="28"/>
          <w:szCs w:val="28"/>
        </w:rPr>
        <w:t>, кожный васкулит</w:t>
      </w:r>
      <w:r w:rsidRPr="00613D39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613D39">
        <w:rPr>
          <w:rFonts w:ascii="Times New Roman" w:hAnsi="Times New Roman"/>
          <w:color w:val="000000"/>
          <w:sz w:val="28"/>
          <w:szCs w:val="28"/>
        </w:rPr>
        <w:t>,</w:t>
      </w:r>
      <w:r w:rsidRPr="00613D3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613D39">
        <w:rPr>
          <w:rFonts w:ascii="Times New Roman" w:hAnsi="Times New Roman"/>
          <w:color w:val="000000"/>
          <w:sz w:val="28"/>
          <w:szCs w:val="28"/>
        </w:rPr>
        <w:t>лихеноидная кожная реакция</w:t>
      </w:r>
      <w:r w:rsidRPr="00613D39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63E50B5" w14:textId="77777777" w:rsidR="00F114E9" w:rsidRPr="00613D39" w:rsidRDefault="00F114E9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/>
        </w:rPr>
        <w:t>волчаночноподобный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 синдром</w:t>
      </w:r>
      <w:r w:rsidRPr="00613D39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1</w:t>
      </w:r>
      <w:r w:rsidR="003634CB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3FAAE3FB" w14:textId="77777777" w:rsidR="00C34E21" w:rsidRPr="00C34E21" w:rsidRDefault="00A65845" w:rsidP="00D615ED">
      <w:pPr>
        <w:spacing w:after="0" w:line="240" w:lineRule="auto"/>
        <w:jc w:val="both"/>
        <w:rPr>
          <w:rFonts w:ascii="Times New Roman" w:eastAsia="MS Mincho" w:hAnsi="Times New Roman"/>
          <w:i/>
          <w:sz w:val="28"/>
          <w:szCs w:val="28"/>
          <w:lang w:eastAsia="ja-JP"/>
        </w:rPr>
      </w:pPr>
      <w:r w:rsidRPr="00C34E21">
        <w:rPr>
          <w:rFonts w:ascii="Times New Roman" w:eastAsia="MS Mincho" w:hAnsi="Times New Roman"/>
          <w:i/>
          <w:sz w:val="28"/>
          <w:szCs w:val="28"/>
          <w:lang w:eastAsia="ja-JP"/>
        </w:rPr>
        <w:t>Н</w:t>
      </w:r>
      <w:r w:rsidR="00D615ED" w:rsidRPr="00C34E21">
        <w:rPr>
          <w:rFonts w:ascii="Times New Roman" w:eastAsia="MS Mincho" w:hAnsi="Times New Roman"/>
          <w:i/>
          <w:sz w:val="28"/>
          <w:szCs w:val="28"/>
          <w:lang w:eastAsia="ja-JP"/>
        </w:rPr>
        <w:t>еизвестно</w:t>
      </w:r>
      <w:r w:rsidR="005B249A">
        <w:rPr>
          <w:rFonts w:ascii="Times New Roman" w:eastAsia="MS Mincho" w:hAnsi="Times New Roman"/>
          <w:i/>
          <w:sz w:val="28"/>
          <w:szCs w:val="28"/>
          <w:lang w:eastAsia="ja-JP"/>
        </w:rPr>
        <w:t xml:space="preserve"> </w:t>
      </w:r>
      <w:r w:rsidR="005B249A" w:rsidRPr="005B249A">
        <w:rPr>
          <w:rFonts w:ascii="Times New Roman" w:eastAsia="MS Mincho" w:hAnsi="Times New Roman"/>
          <w:i/>
          <w:sz w:val="28"/>
          <w:szCs w:val="28"/>
          <w:lang w:eastAsia="ja-JP"/>
        </w:rPr>
        <w:t>(невозможно оценить на основании имеющихся данных)</w:t>
      </w:r>
    </w:p>
    <w:p w14:paraId="19F8DED1" w14:textId="77777777" w:rsidR="00D615ED" w:rsidRDefault="00C34E21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</w:t>
      </w:r>
      <w:proofErr w:type="spellStart"/>
      <w:r w:rsidR="009B2E45"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гепатолиенальная</w:t>
      </w:r>
      <w:proofErr w:type="spellEnd"/>
      <w:r w:rsidR="009B2E45"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Т-клеточная лимфома</w:t>
      </w:r>
      <w:r w:rsidR="009B2E45" w:rsidRPr="00613D39">
        <w:rPr>
          <w:rFonts w:ascii="Times New Roman" w:eastAsia="MS Mincho" w:hAnsi="Times New Roman"/>
          <w:sz w:val="28"/>
          <w:szCs w:val="28"/>
          <w:vertAlign w:val="superscript"/>
          <w:lang w:eastAsia="ja-JP" w:bidi="bo-CN"/>
        </w:rPr>
        <w:t>1</w:t>
      </w:r>
      <w:r w:rsidR="00040D6D"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, карцинома из клеток </w:t>
      </w:r>
      <w:proofErr w:type="spellStart"/>
      <w:r w:rsidR="00040D6D"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Меркеля</w:t>
      </w:r>
      <w:proofErr w:type="spellEnd"/>
      <w:r w:rsidR="00040D6D"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(нейроэндокринная карцинома кожи)</w:t>
      </w:r>
      <w:r w:rsidR="00040D6D" w:rsidRPr="00613D39">
        <w:rPr>
          <w:rFonts w:ascii="Times New Roman" w:eastAsia="MS Mincho" w:hAnsi="Times New Roman"/>
          <w:sz w:val="28"/>
          <w:szCs w:val="28"/>
          <w:vertAlign w:val="superscript"/>
          <w:lang w:eastAsia="ja-JP" w:bidi="bo-CN"/>
        </w:rPr>
        <w:t>1</w:t>
      </w:r>
      <w:r w:rsidR="00040D6D"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, саркома</w:t>
      </w:r>
      <w:r>
        <w:rPr>
          <w:rFonts w:ascii="Times New Roman" w:eastAsia="MS Mincho" w:hAnsi="Times New Roman"/>
          <w:sz w:val="28"/>
          <w:szCs w:val="28"/>
          <w:lang w:eastAsia="ja-JP" w:bidi="bo-CN"/>
        </w:rPr>
        <w:t>м Капоши;</w:t>
      </w:r>
    </w:p>
    <w:p w14:paraId="7B88A81A" w14:textId="77777777" w:rsidR="000C4E36" w:rsidRDefault="00C1776D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печеночная недостаточность</w:t>
      </w:r>
      <w:r w:rsidRPr="00613D39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1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44A5E5C8" w14:textId="77777777" w:rsidR="00C34E21" w:rsidRDefault="00791717" w:rsidP="00D615E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-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>ухудшение симптомов дерматомиозита</w:t>
      </w:r>
      <w:r w:rsidRPr="00613D39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>1</w:t>
      </w:r>
      <w:r w:rsidR="00BC618A">
        <w:rPr>
          <w:rFonts w:ascii="Times New Roman" w:eastAsia="MS Mincho" w:hAnsi="Times New Roman"/>
          <w:sz w:val="28"/>
          <w:szCs w:val="28"/>
          <w:vertAlign w:val="superscript"/>
          <w:lang w:eastAsia="ja-JP"/>
        </w:rPr>
        <w:t xml:space="preserve"> </w:t>
      </w:r>
      <w:r w:rsidR="00BC618A" w:rsidRPr="00C16AC0">
        <w:rPr>
          <w:rFonts w:ascii="Times New Roman" w:hAnsi="Times New Roman"/>
          <w:sz w:val="28"/>
          <w:szCs w:val="28"/>
        </w:rPr>
        <w:t>(проявляется в виде кожной сыпи, сопровождающей мышечную слабость)</w:t>
      </w:r>
      <w:r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14:paraId="2B6CF8B5" w14:textId="77777777" w:rsidR="00E77CB3" w:rsidRPr="00360B73" w:rsidRDefault="00DB1DA2" w:rsidP="00D61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6AC0">
        <w:rPr>
          <w:rFonts w:ascii="Times New Roman" w:hAnsi="Times New Roman"/>
          <w:sz w:val="28"/>
          <w:szCs w:val="28"/>
        </w:rPr>
        <w:t xml:space="preserve">- увеличение веса </w:t>
      </w:r>
      <w:r w:rsidRPr="00C16AC0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0E8E036F" w14:textId="77777777" w:rsidR="00D615ED" w:rsidRPr="00360B73" w:rsidRDefault="00D615ED" w:rsidP="009040C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360B73">
        <w:rPr>
          <w:rFonts w:ascii="Times New Roman" w:eastAsia="MS Mincho" w:hAnsi="Times New Roman"/>
          <w:sz w:val="24"/>
          <w:szCs w:val="24"/>
          <w:lang w:eastAsia="ja-JP"/>
        </w:rPr>
        <w:t xml:space="preserve">* </w:t>
      </w:r>
      <w:r w:rsidR="009040C9" w:rsidRPr="00360B73">
        <w:rPr>
          <w:rFonts w:ascii="Times New Roman" w:eastAsia="MS Mincho" w:hAnsi="Times New Roman"/>
          <w:sz w:val="24"/>
          <w:szCs w:val="24"/>
          <w:lang w:eastAsia="ja-JP"/>
        </w:rPr>
        <w:t>включая открытый период исследований</w:t>
      </w:r>
      <w:r w:rsidR="006853C7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14:paraId="79267E54" w14:textId="77777777" w:rsidR="009040C9" w:rsidRDefault="009040C9" w:rsidP="009040C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bookmarkStart w:id="5" w:name="p962577291415652826"/>
      <w:bookmarkStart w:id="6" w:name="s9423713291441201309"/>
      <w:bookmarkStart w:id="7" w:name="p9422815291441201321"/>
      <w:bookmarkEnd w:id="5"/>
      <w:bookmarkEnd w:id="6"/>
      <w:bookmarkEnd w:id="7"/>
      <w:r w:rsidRPr="00360B73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>1</w:t>
      </w:r>
      <w:r w:rsidRPr="00360B73">
        <w:rPr>
          <w:rFonts w:ascii="Times New Roman" w:eastAsia="MS Mincho" w:hAnsi="Times New Roman"/>
          <w:sz w:val="24"/>
          <w:szCs w:val="24"/>
          <w:lang w:eastAsia="ja-JP"/>
        </w:rPr>
        <w:t xml:space="preserve"> включая данные спонтанных сообщений</w:t>
      </w:r>
      <w:r w:rsidR="006853C7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14:paraId="54C967E2" w14:textId="77777777" w:rsidR="00360B73" w:rsidRPr="00360B73" w:rsidRDefault="00360B73" w:rsidP="00360B7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>2</w:t>
      </w:r>
      <w:r w:rsidRPr="00360B73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 xml:space="preserve"> </w:t>
      </w:r>
      <w:r w:rsidRPr="00360B73">
        <w:rPr>
          <w:rFonts w:ascii="Times New Roman" w:eastAsia="MS Mincho" w:hAnsi="Times New Roman"/>
          <w:sz w:val="24"/>
          <w:szCs w:val="24"/>
          <w:lang w:eastAsia="ja-JP"/>
        </w:rPr>
        <w:t xml:space="preserve">Среднее изменение веса при применении </w:t>
      </w:r>
      <w:proofErr w:type="spellStart"/>
      <w:r w:rsidRPr="00360B73">
        <w:rPr>
          <w:rFonts w:ascii="Times New Roman" w:eastAsia="MS Mincho" w:hAnsi="Times New Roman"/>
          <w:sz w:val="24"/>
          <w:szCs w:val="24"/>
          <w:lang w:eastAsia="ja-JP"/>
        </w:rPr>
        <w:t>адалимумаба</w:t>
      </w:r>
      <w:proofErr w:type="spellEnd"/>
      <w:r w:rsidRPr="00360B73">
        <w:rPr>
          <w:rFonts w:ascii="Times New Roman" w:eastAsia="MS Mincho" w:hAnsi="Times New Roman"/>
          <w:sz w:val="24"/>
          <w:szCs w:val="24"/>
          <w:lang w:eastAsia="ja-JP"/>
        </w:rPr>
        <w:t xml:space="preserve"> по показаниям колебалось от 0,3 кг до 1,0 кг для взрослых пациентов по сравнению от исходного (минус) -</w:t>
      </w:r>
      <w:r w:rsidR="00ED3973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360B73">
        <w:rPr>
          <w:rFonts w:ascii="Times New Roman" w:eastAsia="MS Mincho" w:hAnsi="Times New Roman"/>
          <w:sz w:val="24"/>
          <w:szCs w:val="24"/>
          <w:lang w:eastAsia="ja-JP"/>
        </w:rPr>
        <w:t xml:space="preserve">0,4 кг до 0,4 кг в течение 4-6 месяцев лечения. Увеличение массы тела на 5-6 кг также наблюдалось в долгосрочных расширенных исследованиях со средним воздействием примерно в течении 1-2 лет, особенно у пациентов с болезнью Крона и язвенным колитом. Механизм этого эффекта неясен, но может быть связан с противовоспалительным действием </w:t>
      </w:r>
      <w:proofErr w:type="spellStart"/>
      <w:r w:rsidRPr="00360B73">
        <w:rPr>
          <w:rFonts w:ascii="Times New Roman" w:eastAsia="MS Mincho" w:hAnsi="Times New Roman"/>
          <w:sz w:val="24"/>
          <w:szCs w:val="24"/>
          <w:lang w:eastAsia="ja-JP"/>
        </w:rPr>
        <w:t>адалимумаба</w:t>
      </w:r>
      <w:proofErr w:type="spellEnd"/>
      <w:r w:rsidRPr="00360B73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14:paraId="4DA31D3F" w14:textId="77777777" w:rsidR="00360B73" w:rsidRPr="00360B73" w:rsidRDefault="00360B73" w:rsidP="009040C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05A5D30E" w14:textId="77777777" w:rsidR="00484EC3" w:rsidRPr="00613D39" w:rsidRDefault="002812C7" w:rsidP="00484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/>
          <w:sz w:val="28"/>
          <w:szCs w:val="28"/>
          <w:lang w:eastAsia="ja-JP"/>
        </w:rPr>
      </w:pPr>
      <w:r w:rsidRPr="00613D39">
        <w:rPr>
          <w:rFonts w:ascii="Times New Roman" w:eastAsia="MS Mincho" w:hAnsi="Times New Roman"/>
          <w:i/>
          <w:sz w:val="28"/>
          <w:szCs w:val="28"/>
          <w:lang w:eastAsia="ja-JP"/>
        </w:rPr>
        <w:t>Г</w:t>
      </w:r>
      <w:r w:rsidR="00484EC3" w:rsidRPr="00613D39">
        <w:rPr>
          <w:rFonts w:ascii="Times New Roman" w:eastAsia="MS Mincho" w:hAnsi="Times New Roman"/>
          <w:i/>
          <w:sz w:val="28"/>
          <w:szCs w:val="28"/>
          <w:lang w:eastAsia="ja-JP"/>
        </w:rPr>
        <w:t xml:space="preserve">нойный гидраденит </w:t>
      </w:r>
    </w:p>
    <w:p w14:paraId="459E7968" w14:textId="77777777" w:rsidR="00484EC3" w:rsidRPr="00613D39" w:rsidRDefault="00484EC3" w:rsidP="00484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Профиль безопасности у пациентов с гнойным гидраденитом при применении </w:t>
      </w:r>
      <w:proofErr w:type="spellStart"/>
      <w:r w:rsidR="00A672BB" w:rsidRPr="00613D39">
        <w:rPr>
          <w:rFonts w:ascii="Times New Roman" w:eastAsia="MS Mincho" w:hAnsi="Times New Roman"/>
          <w:sz w:val="28"/>
          <w:szCs w:val="28"/>
          <w:lang w:eastAsia="ja-JP"/>
        </w:rPr>
        <w:t>адалимумаба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 один раз в неделю был схож с известным профилем безопасности </w:t>
      </w:r>
      <w:proofErr w:type="spellStart"/>
      <w:r w:rsidR="00A672BB" w:rsidRPr="00613D39">
        <w:rPr>
          <w:rFonts w:ascii="Times New Roman" w:eastAsia="MS Mincho" w:hAnsi="Times New Roman"/>
          <w:sz w:val="28"/>
          <w:szCs w:val="28"/>
          <w:lang w:eastAsia="ja-JP"/>
        </w:rPr>
        <w:t>адалимумаба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6BA462E5" w14:textId="77777777" w:rsidR="00484EC3" w:rsidRPr="00613D39" w:rsidRDefault="00484EC3" w:rsidP="00484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/>
          <w:sz w:val="28"/>
          <w:szCs w:val="28"/>
          <w:lang w:eastAsia="ja-JP"/>
        </w:rPr>
      </w:pPr>
      <w:r w:rsidRPr="00613D39">
        <w:rPr>
          <w:rFonts w:ascii="Times New Roman" w:eastAsia="MS Mincho" w:hAnsi="Times New Roman"/>
          <w:i/>
          <w:sz w:val="28"/>
          <w:szCs w:val="28"/>
          <w:lang w:eastAsia="ja-JP"/>
        </w:rPr>
        <w:t xml:space="preserve">Увеит </w:t>
      </w:r>
    </w:p>
    <w:p w14:paraId="1C72DC69" w14:textId="77777777" w:rsidR="00484EC3" w:rsidRPr="00613D39" w:rsidRDefault="00484EC3" w:rsidP="00484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Профиль безопасности у пациентов с увеитом при применении </w:t>
      </w:r>
      <w:proofErr w:type="spellStart"/>
      <w:r w:rsidR="005F7B2A" w:rsidRPr="00613D39">
        <w:rPr>
          <w:rFonts w:ascii="Times New Roman" w:eastAsia="MS Mincho" w:hAnsi="Times New Roman"/>
          <w:sz w:val="28"/>
          <w:szCs w:val="28"/>
          <w:lang w:eastAsia="ja-JP"/>
        </w:rPr>
        <w:t>адалимумаба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68072D"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один раз в две недели </w:t>
      </w:r>
      <w:r w:rsidRPr="00613D39">
        <w:rPr>
          <w:rFonts w:ascii="Times New Roman" w:eastAsia="MS Mincho" w:hAnsi="Times New Roman"/>
          <w:sz w:val="28"/>
          <w:szCs w:val="28"/>
          <w:lang w:eastAsia="ja-JP"/>
        </w:rPr>
        <w:t xml:space="preserve">был схож с известным профилем безопасности </w:t>
      </w:r>
      <w:proofErr w:type="spellStart"/>
      <w:r w:rsidR="005F7B2A" w:rsidRPr="00613D39">
        <w:rPr>
          <w:rFonts w:ascii="Times New Roman" w:eastAsia="MS Mincho" w:hAnsi="Times New Roman"/>
          <w:sz w:val="28"/>
          <w:szCs w:val="28"/>
          <w:lang w:eastAsia="ja-JP"/>
        </w:rPr>
        <w:t>адалимумаба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14:paraId="7D7E6D4D" w14:textId="77777777" w:rsidR="00484EC3" w:rsidRPr="00613D39" w:rsidRDefault="00484EC3" w:rsidP="00484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i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bCs/>
          <w:i/>
          <w:sz w:val="28"/>
          <w:szCs w:val="28"/>
          <w:lang w:eastAsia="ja-JP" w:bidi="bo-CN"/>
        </w:rPr>
        <w:t>Дети</w:t>
      </w:r>
    </w:p>
    <w:p w14:paraId="763415E9" w14:textId="77777777" w:rsidR="00484EC3" w:rsidRPr="00613D39" w:rsidRDefault="00484EC3" w:rsidP="00484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Как правило, побочные реакции, возникающие у детей, были подобны по частоте и характеру побочным реакциям, наблюдавшимся у взрослых пациентов.</w:t>
      </w:r>
    </w:p>
    <w:p w14:paraId="47397E0F" w14:textId="77777777" w:rsidR="00734845" w:rsidRPr="00613D39" w:rsidRDefault="00734845" w:rsidP="00734845">
      <w:pPr>
        <w:tabs>
          <w:tab w:val="left" w:pos="15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u w:val="single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u w:val="single"/>
          <w:lang w:eastAsia="ja-JP" w:bidi="bo-CN"/>
        </w:rPr>
        <w:lastRenderedPageBreak/>
        <w:t>Описание отдельных нежелательных реакций</w:t>
      </w:r>
    </w:p>
    <w:p w14:paraId="03A5ED61" w14:textId="77777777" w:rsidR="00484EC3" w:rsidRPr="00613D39" w:rsidRDefault="00484EC3" w:rsidP="00484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i/>
          <w:sz w:val="28"/>
          <w:szCs w:val="28"/>
          <w:lang w:eastAsia="ja-JP" w:bidi="bo-CN"/>
        </w:rPr>
        <w:t>Реакции в месте введения</w:t>
      </w:r>
    </w:p>
    <w:p w14:paraId="0F90533F" w14:textId="77777777" w:rsidR="003959F5" w:rsidRPr="00613D39" w:rsidRDefault="003959F5" w:rsidP="0039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В основных контролируемых исследованиях у взрослых и детей, получавших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, в 12.9 % случаев развились реакции в месте введения (эритема и/или зуд, кровоизлияние, боль, или отек), в сравнении с 7.2 % пациентов контрольной группы. Реакции в месте введения не требовали отмены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.</w:t>
      </w:r>
    </w:p>
    <w:p w14:paraId="2ED6436C" w14:textId="77777777" w:rsidR="009130C2" w:rsidRPr="00613D39" w:rsidRDefault="009130C2" w:rsidP="0091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i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i/>
          <w:sz w:val="28"/>
          <w:szCs w:val="28"/>
          <w:lang w:eastAsia="ja-JP" w:bidi="bo-CN"/>
        </w:rPr>
        <w:t>Инфекции</w:t>
      </w:r>
    </w:p>
    <w:p w14:paraId="6CE54E2A" w14:textId="77777777" w:rsidR="009130C2" w:rsidRPr="00613D39" w:rsidRDefault="009130C2" w:rsidP="0091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В основных контролируемых исследованиях у взрослых и детей уровень инфекций составлял 1.5 на одного пациента в год при лечении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адалимумабом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и 1.46 на одного пациента в год в контрольной группе пациентов. Инфекции в большинстве случаев были представлены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назофарингитом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, инфекциями верхних дыхательных путей и синуситом. Большинство пациентов продолжили применять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после разрешения инфекции.</w:t>
      </w:r>
    </w:p>
    <w:p w14:paraId="33F4897C" w14:textId="77777777" w:rsidR="009130C2" w:rsidRPr="00613D39" w:rsidRDefault="009130C2" w:rsidP="009130C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Частота серьезных инфекций составляла 0.04 на одного пациента в год при лечении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адалимумабом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и 0.03 на одного пациента в год в контрольной группе пациентов.</w:t>
      </w:r>
    </w:p>
    <w:p w14:paraId="474B2700" w14:textId="77777777" w:rsidR="009130C2" w:rsidRPr="00613D39" w:rsidRDefault="009130C2" w:rsidP="00913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В контролируемых открытых исследованиях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у взрослых и детей</w:t>
      </w: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были зарегистрированы случаи серьезных инфекций (редко с фатальным исходом), включая сообщения о туберкулезе (в том числе милиарного и внелегочной локализации) и инвазивных оппортунистических инфекций (таких как диссеминированный или внелегочной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гистоплазмоз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, пневмоцистная пневмония, аспергиллез,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листериоз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, кандидоз). Большинство случаев туберкулеза произошло в течение первых восьми месяцев после начала терапии и может отражать рецидив латентного заболевания.</w:t>
      </w:r>
    </w:p>
    <w:p w14:paraId="2923F362" w14:textId="77777777" w:rsidR="003634D3" w:rsidRPr="00613D39" w:rsidRDefault="003634D3" w:rsidP="003634D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Злокачественные новообразования и </w:t>
      </w:r>
      <w:proofErr w:type="spellStart"/>
      <w:r w:rsidRPr="00613D3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лимфопролиферативные</w:t>
      </w:r>
      <w:proofErr w:type="spellEnd"/>
      <w:r w:rsidRPr="00613D3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заболевания</w:t>
      </w:r>
      <w:r w:rsidRPr="00613D39" w:rsidDel="00D1480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14:paraId="633CBBE9" w14:textId="77777777" w:rsidR="003634D3" w:rsidRPr="00613D39" w:rsidRDefault="003634D3" w:rsidP="003634D3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В клинических исследованиях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у 249 пациентов с ювенильным ревматоидным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артиротом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(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полиартикулярный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ювенильный идиопатический артрит и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энтезит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-ассоциированный артрит) не наблюдалось злокачественных новообразований при наблюдении в течение 655.5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-лет. Кроме того</w:t>
      </w:r>
      <w:r w:rsidR="00ED3973">
        <w:rPr>
          <w:rFonts w:ascii="Times New Roman" w:eastAsia="MS Mincho" w:hAnsi="Times New Roman"/>
          <w:sz w:val="28"/>
          <w:szCs w:val="28"/>
          <w:lang w:eastAsia="ja-JP" w:bidi="bo-CN"/>
        </w:rPr>
        <w:t>,</w:t>
      </w: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в исследованиях у 192 пациентов детского возраста с болезнью Крона не наблюдалось злокачественных новообразований при наблюдении в течение 498.1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-лет. Во время исследований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у 77 пациентов детского возраста с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бляшечным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псориазом не наблюдалось злокачественных новообразований при наблюдении в течение 80.0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-лет. В исследованиях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у 60 пациентов детского возраста с увеитом не наблюдалось злокачественных новообразований при наблюдении в течение 58.4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-лет.</w:t>
      </w:r>
    </w:p>
    <w:p w14:paraId="2C01B429" w14:textId="77777777" w:rsidR="003634D3" w:rsidRPr="00613D39" w:rsidRDefault="003634D3" w:rsidP="0036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Во время контролируемых этапов базовых испытаний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продолжительностью, по меньшей мере, 12 недель у пациентов с ревматоидным артритом,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анкилозирующим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спондилитом, аксиальным спондилоартритом без рентгенографического подтверждения АС,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lastRenderedPageBreak/>
        <w:t>псориатическим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артритом, псориазом, гнойным гидраденитом, болезнью Крона, язвенным колитом и увеитом злокачественные новообразования, за исключением лимфомы и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немеланомного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рака кожи, наблюдались с частотой (95% доверительный интервал) 6.8 (4.4-10.5) на 1000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-лет среди 5291 пациентов, получавших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, по сравнению с 6.3 (4.3 – 11.8) на 1000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-лет среди 3444 пациентов контрольной группы (средняя продолжительность лечения составила 4.0 месяца при применении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и 3.8 месяца в контрольной группе пациентов). </w:t>
      </w:r>
    </w:p>
    <w:p w14:paraId="58694C8E" w14:textId="77777777" w:rsidR="003634D3" w:rsidRPr="00613D39" w:rsidRDefault="003634D3" w:rsidP="0036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Частота (95% доверительный интервал)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немеланомного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рака кожи составляла 8.8 (6.0 – 13.0) на 1000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-лет среди пациентов, принимавших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, и 3.2 (1.3 – 7.6) на 1000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-лет среди пациентов контрольной группы. Из общего числа случаев рак кожи плоскоклеточный рак возникал с частотой (95% доверительный интервал) 2.7 (1.5 – 5.4) на 1000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-лет среди пациентов, принимавших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, и 0.6 (01 -4.5) на 1000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-лет среди пациентов контрольной группы.</w:t>
      </w:r>
    </w:p>
    <w:p w14:paraId="5AAABE3F" w14:textId="77777777" w:rsidR="003634D3" w:rsidRPr="00613D39" w:rsidRDefault="003634D3" w:rsidP="0036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Частота (95% доверительный интервал) возникновения лимфом у пациентов, применявших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, составляла 0.7 (0.2 – 2.9) на 1000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-лет и 0.7 (0.1 - 4.9) на 1000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-лет среди пациентов контрольной группы</w:t>
      </w:r>
    </w:p>
    <w:p w14:paraId="63516ED8" w14:textId="77777777" w:rsidR="003634D3" w:rsidRPr="00613D39" w:rsidRDefault="003634D3" w:rsidP="0036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В контролируемых фазах клинических испытаний, а также продолжающихся и завершенных открытых исследованиях со средней продолжительностью около 3.3 лет, включая 6 427 пациентов и более 26 439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-лет терапии, наблюдаемая частота злокачественных новообразований, кроме лимфомы и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немеланомного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рака кожи, составляла приблизительно 8.5 на 1000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-лет. Наблюдаемая частота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немеланомного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рака кожи составляла приблизительно 9.6 на 1000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-лет, а наблюдаемая частота лимфом - приблизительно 1,3 на 1000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-лет.</w:t>
      </w:r>
    </w:p>
    <w:p w14:paraId="46164D41" w14:textId="77777777" w:rsidR="003634D3" w:rsidRPr="00613D39" w:rsidRDefault="003634D3" w:rsidP="0036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Согласно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постмаркетинговом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данным (январь 2003 года - декабрь 2010 года) преимущественно у пациентов с ревматоидным артритом зарегистрированная частота злокачественных новообразований составляла примерно 2.7 на 1000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-лет. Показатели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немеланомного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рака кожи и лимфом составляют приблизительно 0.2 и 0.3 на 1000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пациенто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-лет. Сообщалось о редких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постмаркетинговых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случаях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гепатолиенальной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Т-клеточная лимфомы у пациентов, получавших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.</w:t>
      </w:r>
    </w:p>
    <w:p w14:paraId="609E88F5" w14:textId="77777777" w:rsidR="009E5E30" w:rsidRPr="00613D39" w:rsidRDefault="009E5E30" w:rsidP="009E5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proofErr w:type="spellStart"/>
      <w:r w:rsidRPr="00613D39">
        <w:rPr>
          <w:rFonts w:ascii="Times New Roman" w:eastAsia="MS Mincho" w:hAnsi="Times New Roman"/>
          <w:i/>
          <w:sz w:val="28"/>
          <w:szCs w:val="28"/>
          <w:lang w:eastAsia="ja-JP" w:bidi="bo-CN"/>
        </w:rPr>
        <w:t>Аутоантитела</w:t>
      </w:r>
      <w:proofErr w:type="spellEnd"/>
    </w:p>
    <w:p w14:paraId="3CF910BF" w14:textId="77777777" w:rsidR="009E5E30" w:rsidRDefault="009E5E30" w:rsidP="009E5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На </w:t>
      </w:r>
      <w:r w:rsidRPr="00613D39">
        <w:rPr>
          <w:rFonts w:ascii="Times New Roman" w:eastAsia="MS Mincho" w:hAnsi="Times New Roman"/>
          <w:bCs/>
          <w:sz w:val="28"/>
          <w:szCs w:val="28"/>
          <w:lang w:val="en-US" w:eastAsia="ja-JP" w:bidi="bo-CN"/>
        </w:rPr>
        <w:t>I</w:t>
      </w: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-</w:t>
      </w:r>
      <w:r w:rsidRPr="00613D39">
        <w:rPr>
          <w:rFonts w:ascii="Times New Roman" w:eastAsia="MS Mincho" w:hAnsi="Times New Roman"/>
          <w:bCs/>
          <w:sz w:val="28"/>
          <w:szCs w:val="28"/>
          <w:lang w:val="en-US" w:eastAsia="ja-JP" w:bidi="bo-CN"/>
        </w:rPr>
        <w:t>IV</w:t>
      </w: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этапах исследования ревматоидного артрита проводился анализ сыворотки крови пациентов на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аутоантитела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. </w:t>
      </w:r>
      <w:r w:rsidRPr="00613D39">
        <w:rPr>
          <w:rFonts w:ascii="Times New Roman" w:eastAsia="Times New Roman" w:hAnsi="Times New Roman"/>
          <w:sz w:val="28"/>
          <w:szCs w:val="28"/>
        </w:rPr>
        <w:t xml:space="preserve">У 11.9 % пациентов, которые принимали </w:t>
      </w:r>
      <w:proofErr w:type="spellStart"/>
      <w:r w:rsidRPr="00613D39">
        <w:rPr>
          <w:rFonts w:ascii="Times New Roman" w:eastAsia="Times New Roman" w:hAnsi="Times New Roman"/>
          <w:sz w:val="28"/>
          <w:szCs w:val="28"/>
        </w:rPr>
        <w:t>адалимумаб</w:t>
      </w:r>
      <w:proofErr w:type="spellEnd"/>
      <w:r w:rsidRPr="00613D39">
        <w:rPr>
          <w:rFonts w:ascii="Times New Roman" w:eastAsia="Times New Roman" w:hAnsi="Times New Roman"/>
          <w:sz w:val="28"/>
          <w:szCs w:val="28"/>
        </w:rPr>
        <w:t xml:space="preserve"> и у 8.1 % пациентов, принимавших плацебо, и пациентов контрольной группы, у которых изначально были отрицательные титры антинуклеарных, положительные титры появились на 24 неделе. </w:t>
      </w: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У двух пациентов (из 3989 пациентов с ревматоидным артритом,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псориатическим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артритом и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анкилозирующим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артритом, получавших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) развились признаки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волчаночноподобного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</w:t>
      </w: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lastRenderedPageBreak/>
        <w:t xml:space="preserve">синдрома, которые исчезли после прекращения лечения. Ни у одного пациента не развились люпус-нефрит или поражения центральной нервной системы. Влияние длительного применения </w:t>
      </w:r>
      <w:proofErr w:type="spellStart"/>
      <w:r w:rsidR="001D70A1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на развитие аутоиммунных заболеваний не известно.</w:t>
      </w:r>
    </w:p>
    <w:p w14:paraId="3A043EE3" w14:textId="77777777" w:rsidR="00C32C20" w:rsidRPr="00613D39" w:rsidRDefault="00C32C20" w:rsidP="00C3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i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bCs/>
          <w:i/>
          <w:sz w:val="28"/>
          <w:szCs w:val="28"/>
          <w:lang w:eastAsia="ja-JP" w:bidi="bo-CN"/>
        </w:rPr>
        <w:t>Повышение активности ферментов печени</w:t>
      </w:r>
    </w:p>
    <w:p w14:paraId="4FED5997" w14:textId="77777777" w:rsidR="00C32C20" w:rsidRPr="00613D39" w:rsidRDefault="00C32C20" w:rsidP="00C3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В контролируемых исследованиях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</w:t>
      </w:r>
      <w:r w:rsidRPr="00613D39">
        <w:rPr>
          <w:rFonts w:ascii="Times New Roman" w:eastAsia="MS Mincho" w:hAnsi="Times New Roman"/>
          <w:bCs/>
          <w:sz w:val="28"/>
          <w:szCs w:val="28"/>
          <w:lang w:val="en-US" w:eastAsia="ja-JP" w:bidi="bo-CN"/>
        </w:rPr>
        <w:t>III</w:t>
      </w: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фазы у пациентов с ревматоидным артритом и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псориатическим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артритом с длительностью контрольного периода от 4 до 104 недель повышение активности АЛТ ≥3 верхних границ нормы (ВГН) наблюдалось у 3.7 % пациентов, получавших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, и у 1.6 % пациентов контрольной группы. </w:t>
      </w:r>
    </w:p>
    <w:p w14:paraId="5F92C880" w14:textId="77777777" w:rsidR="00C32C20" w:rsidRPr="00613D39" w:rsidRDefault="00C32C20" w:rsidP="00C3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В контролируемых исследованиях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</w:t>
      </w:r>
      <w:r w:rsidRPr="00613D39">
        <w:rPr>
          <w:rFonts w:ascii="Times New Roman" w:eastAsia="MS Mincho" w:hAnsi="Times New Roman"/>
          <w:bCs/>
          <w:sz w:val="28"/>
          <w:szCs w:val="28"/>
          <w:lang w:val="en-US" w:eastAsia="ja-JP" w:bidi="bo-CN"/>
        </w:rPr>
        <w:t>III</w:t>
      </w: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фазы у пациентов с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полиартикулярным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ювенильным идиопатическим артритом</w:t>
      </w: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в возрасте от 4 до 17 лет и пациентов с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энтезит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- ассоциированным артритом в возрасте от 6 до 17 лет повышение АЛТ в 3 или более раз выше верхней границы нормы наблюдалось у 6.1 % пациентов, получавших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, и у 1.3 % пациентов контрольной группы. Большинство случаев повышения активности АЛТ были зарегистрированы при одновременном применении с метотрексатом. В исследовании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</w:t>
      </w:r>
      <w:r w:rsidRPr="00613D39">
        <w:rPr>
          <w:rFonts w:ascii="Times New Roman" w:eastAsia="MS Mincho" w:hAnsi="Times New Roman"/>
          <w:bCs/>
          <w:sz w:val="28"/>
          <w:szCs w:val="28"/>
          <w:lang w:val="en-US" w:eastAsia="ja-JP" w:bidi="bo-CN"/>
        </w:rPr>
        <w:t>III</w:t>
      </w: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фазы у пациентов с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полиартикулярным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ювенильным идиопатическим артритом в возрасте от 2 до 4 лет случаев активности АЛТ не зарегистрировано.</w:t>
      </w:r>
    </w:p>
    <w:p w14:paraId="1D22BDC1" w14:textId="77777777" w:rsidR="00C32C20" w:rsidRPr="00613D39" w:rsidRDefault="00C32C20" w:rsidP="00C3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В контролируемых исследованиях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</w:t>
      </w:r>
      <w:r w:rsidRPr="00613D39">
        <w:rPr>
          <w:rFonts w:ascii="Times New Roman" w:eastAsia="MS Mincho" w:hAnsi="Times New Roman"/>
          <w:bCs/>
          <w:sz w:val="28"/>
          <w:szCs w:val="28"/>
          <w:lang w:val="en-US" w:eastAsia="ja-JP" w:bidi="bo-CN"/>
        </w:rPr>
        <w:t>III</w:t>
      </w: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фазы у пациентов с болезнью Крона и язвенным колитом с продолжительностью контролируемого периода от 4 до 52 недель, повышение активности АЛТ ≥ 3 × ВГН наблюдалось у 0.9 % пациентов обеих групп. </w:t>
      </w:r>
    </w:p>
    <w:p w14:paraId="58D65420" w14:textId="77777777" w:rsidR="00C32C20" w:rsidRPr="00613D39" w:rsidRDefault="00C32C20" w:rsidP="00C3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В контролируемых исследованиях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</w:t>
      </w:r>
      <w:r w:rsidRPr="00613D39">
        <w:rPr>
          <w:rFonts w:ascii="Times New Roman" w:eastAsia="MS Mincho" w:hAnsi="Times New Roman"/>
          <w:bCs/>
          <w:sz w:val="28"/>
          <w:szCs w:val="28"/>
          <w:lang w:val="en-US" w:eastAsia="ja-JP" w:bidi="bo-CN"/>
        </w:rPr>
        <w:t>III</w:t>
      </w: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фазы у детей с болезнью Крона при оценке эффективности и безопасности режима поддерживающей терапии по двукратной массе тела, с последующим приведением к режиму дозирования согласно массе тела (продолжительность терапии до 52 недель), наблюдалось повышение АЛТ ≥ 3 × ВГН у 2.6 % (5/192) пациентов, 4 из которых на момент начала исследования получали сопутствующее лечение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иммуносупрессорами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.</w:t>
      </w:r>
    </w:p>
    <w:p w14:paraId="3166469D" w14:textId="77777777" w:rsidR="00C32C20" w:rsidRPr="00613D39" w:rsidRDefault="00C32C20" w:rsidP="00C3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В контролируемых исследованиях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</w:t>
      </w:r>
      <w:r w:rsidRPr="00613D39">
        <w:rPr>
          <w:rFonts w:ascii="Times New Roman" w:eastAsia="MS Mincho" w:hAnsi="Times New Roman"/>
          <w:bCs/>
          <w:sz w:val="28"/>
          <w:szCs w:val="28"/>
          <w:lang w:val="en-US" w:eastAsia="ja-JP" w:bidi="bo-CN"/>
        </w:rPr>
        <w:t>III</w:t>
      </w: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фазы у пациентов с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бляшечным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псориазом с длительностью контролируемого периода от 12 до 24 недель, повышение АЛТ ≥ 3 × ВГН наблюдалось у 1.8 % пациентов обеих групп.</w:t>
      </w:r>
    </w:p>
    <w:p w14:paraId="3BAFB998" w14:textId="77777777" w:rsidR="00C32C20" w:rsidRPr="00613D39" w:rsidRDefault="00C32C20" w:rsidP="00C3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У детей с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бляшечным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псориазом в </w:t>
      </w:r>
      <w:r w:rsidRPr="00613D39">
        <w:rPr>
          <w:rFonts w:ascii="Times New Roman" w:eastAsia="MS Mincho" w:hAnsi="Times New Roman"/>
          <w:bCs/>
          <w:sz w:val="28"/>
          <w:szCs w:val="28"/>
          <w:lang w:val="en-US" w:eastAsia="ja-JP" w:bidi="bo-CN"/>
        </w:rPr>
        <w:t>III</w:t>
      </w: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фазе исследования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не наблюдалось повышения АЛТ ≥ 3 × ВГН. </w:t>
      </w:r>
    </w:p>
    <w:p w14:paraId="5F6FDDC6" w14:textId="77777777" w:rsidR="00C32C20" w:rsidRPr="00613D39" w:rsidRDefault="00C32C20" w:rsidP="00C3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В контролируемых исследованиях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с контролируемым периодом от 12 до 16 недель (начальная доза 160 мг в неделю 0, затем по 80 мг в неделю 2 и по 40 мг каждую неделю, начиная с недели 4), у пациентов с гнойным гидраденитом, наблюдалось повышение АЛТ ≥ 3 × ВГН у 0.3 % пациентов, получавших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, и у 0.6 % пациентов в контрольной группе.</w:t>
      </w:r>
    </w:p>
    <w:p w14:paraId="619BE1CC" w14:textId="77777777" w:rsidR="00C32C20" w:rsidRPr="00613D39" w:rsidRDefault="00C32C20" w:rsidP="00C3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В контролируемых исследованиях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у пациентов с увеитом (начальная доза 80 мг в неделю 0, затем по 40 мг каждую неделю, начиная </w:t>
      </w: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lastRenderedPageBreak/>
        <w:t xml:space="preserve">с недели 1), максимальная длительность составила 80 недель, с медианой продолжительности лечения 166.5 и 105.,0 дней в группе пациентов, получавших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, и в контрольной группе соответственно, наблюдалось повышение АЛТ ≥ 3 × ВГН у 2.4 % пациентов, получавших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, и у 2.4 % пациентов в контрольной группе.</w:t>
      </w:r>
    </w:p>
    <w:p w14:paraId="34324C64" w14:textId="77777777" w:rsidR="00207E25" w:rsidRPr="00613D39" w:rsidRDefault="00207E25" w:rsidP="00207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В контролируемом исследовании </w:t>
      </w:r>
      <w:proofErr w:type="spellStart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</w:t>
      </w:r>
      <w:r w:rsidRPr="00613D39">
        <w:rPr>
          <w:rFonts w:ascii="Times New Roman" w:eastAsia="MS Mincho" w:hAnsi="Times New Roman"/>
          <w:bCs/>
          <w:sz w:val="28"/>
          <w:szCs w:val="28"/>
          <w:lang w:val="en-US" w:eastAsia="ja-JP" w:bidi="bo-CN"/>
        </w:rPr>
        <w:t>III</w:t>
      </w:r>
      <w:r w:rsidRPr="00613D39">
        <w:rPr>
          <w:rFonts w:ascii="Times New Roman" w:eastAsia="MS Mincho" w:hAnsi="Times New Roman"/>
          <w:bCs/>
          <w:sz w:val="28"/>
          <w:szCs w:val="28"/>
          <w:lang w:eastAsia="ja-JP" w:bidi="bo-CN"/>
        </w:rPr>
        <w:t xml:space="preserve"> фазы у пациентов детского возраста с язвенным колитом, в которое было включено 93 пациента, повышение уровня АЛТ ≥ 3 × ВГН наблюдалось у 1.1% (1/93) пациентов.</w:t>
      </w:r>
    </w:p>
    <w:p w14:paraId="08A966C8" w14:textId="77777777" w:rsidR="00C32C20" w:rsidRPr="00613D39" w:rsidRDefault="00C32C20" w:rsidP="00C3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При всех показаниях в клинических исследованиях повышение активности АЛТ у пациентов не сопровождалось симптомами и большинстве случаев носило преходящий характер и разрешалось без прекращения лечения. В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постмаркетинговом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периоде сообщалось о печеночной недостаточности, а также о менее серьезных заболеваниях печени, которые могут предшествовать печеночной недостаточности, таких как гепатит, включая аутоиммунный, у пациентов, получавших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.</w:t>
      </w:r>
    </w:p>
    <w:p w14:paraId="65D8C0F3" w14:textId="77777777" w:rsidR="001B3CE1" w:rsidRPr="00613D39" w:rsidRDefault="001B3CE1" w:rsidP="001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i/>
          <w:sz w:val="28"/>
          <w:szCs w:val="28"/>
          <w:lang w:eastAsia="ja-JP" w:bidi="bo-CN"/>
        </w:rPr>
        <w:t xml:space="preserve">Одновременное применение с </w:t>
      </w:r>
      <w:proofErr w:type="spellStart"/>
      <w:r w:rsidRPr="00613D39">
        <w:rPr>
          <w:rFonts w:ascii="Times New Roman" w:eastAsia="MS Mincho" w:hAnsi="Times New Roman"/>
          <w:i/>
          <w:sz w:val="28"/>
          <w:szCs w:val="28"/>
          <w:lang w:eastAsia="ja-JP" w:bidi="bo-CN"/>
        </w:rPr>
        <w:t>азатиоприном</w:t>
      </w:r>
      <w:proofErr w:type="spellEnd"/>
      <w:r w:rsidRPr="00613D39">
        <w:rPr>
          <w:rFonts w:ascii="Times New Roman" w:eastAsia="MS Mincho" w:hAnsi="Times New Roman"/>
          <w:i/>
          <w:sz w:val="28"/>
          <w:szCs w:val="28"/>
          <w:lang w:eastAsia="ja-JP" w:bidi="bo-CN"/>
        </w:rPr>
        <w:t>/6-меркаптопурином</w:t>
      </w:r>
    </w:p>
    <w:p w14:paraId="476F1041" w14:textId="77777777" w:rsidR="001B3CE1" w:rsidRPr="00613D39" w:rsidRDefault="001B3CE1" w:rsidP="001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 w:bidi="bo-CN"/>
        </w:rPr>
      </w:pP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В клинических </w:t>
      </w:r>
      <w:r w:rsidR="005A5B91"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исследованиях у</w:t>
      </w: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взрослых пациентов с болезнью Крона наблюдалось увеличение частоты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репортирования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злокачественных </w:t>
      </w:r>
      <w:r w:rsidR="005A5B91"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новообразования и</w:t>
      </w:r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нежелательных явлений, ассоциированных с серьезными инфекциями, при комбинированном применении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адалимумаба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с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азатиоприном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/6-меркаптопурином по сравнению с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монотерапией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 xml:space="preserve"> </w:t>
      </w:r>
      <w:proofErr w:type="spellStart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адалимумабом</w:t>
      </w:r>
      <w:proofErr w:type="spellEnd"/>
      <w:r w:rsidRPr="00613D39">
        <w:rPr>
          <w:rFonts w:ascii="Times New Roman" w:eastAsia="MS Mincho" w:hAnsi="Times New Roman"/>
          <w:sz w:val="28"/>
          <w:szCs w:val="28"/>
          <w:lang w:eastAsia="ja-JP" w:bidi="bo-CN"/>
        </w:rPr>
        <w:t>.</w:t>
      </w:r>
    </w:p>
    <w:p w14:paraId="0ACF6FA0" w14:textId="77777777" w:rsidR="00866A17" w:rsidRPr="00613D39" w:rsidRDefault="00866A17" w:rsidP="00395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 w:bidi="bo-CN"/>
        </w:rPr>
      </w:pPr>
    </w:p>
    <w:p w14:paraId="52F9F0B7" w14:textId="77777777" w:rsidR="00873DD8" w:rsidRPr="00613D39" w:rsidRDefault="00873DD8" w:rsidP="00873DD8">
      <w:pPr>
        <w:pStyle w:val="ac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7069A2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.</w:t>
      </w:r>
    </w:p>
    <w:p w14:paraId="59948108" w14:textId="77777777" w:rsidR="00873DD8" w:rsidRPr="00613D39" w:rsidRDefault="0062613D" w:rsidP="0062613D">
      <w:pPr>
        <w:pStyle w:val="ac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РГП на ПХВ «Национальный ц</w:t>
      </w:r>
      <w:r w:rsidR="00873DD8"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ентр экспертизы лекарственных средств и медицинских изделий» Комитет</w:t>
      </w:r>
      <w:r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="00873DD8"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медицинского и фармацевтического контроля</w:t>
      </w:r>
      <w:r w:rsidR="00873DD8" w:rsidRPr="00613D3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Министерства здравоохранения Республики Казахстан</w:t>
      </w:r>
    </w:p>
    <w:p w14:paraId="312706F8" w14:textId="77777777" w:rsidR="00873DD8" w:rsidRPr="00613D39" w:rsidRDefault="005728CD" w:rsidP="00873DD8">
      <w:pPr>
        <w:pStyle w:val="ac"/>
        <w:jc w:val="both"/>
        <w:rPr>
          <w:rStyle w:val="af"/>
          <w:rFonts w:ascii="Times New Roman" w:eastAsia="Times New Roman" w:hAnsi="Times New Roman"/>
          <w:sz w:val="28"/>
          <w:szCs w:val="28"/>
          <w:u w:val="none"/>
          <w:lang w:eastAsia="ru-RU" w:bidi="ru-RU"/>
        </w:rPr>
      </w:pPr>
      <w:hyperlink r:id="rId11" w:history="1">
        <w:r w:rsidR="00873DD8" w:rsidRPr="00613D39">
          <w:rPr>
            <w:rStyle w:val="af"/>
            <w:rFonts w:ascii="Times New Roman" w:eastAsia="Times New Roman" w:hAnsi="Times New Roman"/>
            <w:sz w:val="28"/>
            <w:szCs w:val="28"/>
            <w:u w:val="none"/>
            <w:lang w:eastAsia="ru-RU" w:bidi="ru-RU"/>
          </w:rPr>
          <w:t>http://www.ndda.kz</w:t>
        </w:r>
      </w:hyperlink>
    </w:p>
    <w:p w14:paraId="4143239F" w14:textId="77777777" w:rsidR="001B3CE1" w:rsidRPr="00613D39" w:rsidRDefault="001B3CE1" w:rsidP="00873DD8">
      <w:pPr>
        <w:pStyle w:val="ac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14:paraId="47BA6832" w14:textId="77777777" w:rsidR="000C2C4B" w:rsidRPr="00613D39" w:rsidRDefault="000C2C4B" w:rsidP="00C92F6F">
      <w:pPr>
        <w:pStyle w:val="ac"/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553C3369" w14:textId="77777777" w:rsidR="006B7A90" w:rsidRPr="00613D39" w:rsidRDefault="00844CE8" w:rsidP="00C92F6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8" w:name="2175220285"/>
      <w:r w:rsidRPr="00613D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</w:p>
    <w:p w14:paraId="018D168B" w14:textId="77777777" w:rsidR="00456702" w:rsidRPr="00613D39" w:rsidRDefault="00207A86" w:rsidP="00C9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2175220286"/>
      <w:bookmarkEnd w:id="8"/>
      <w:r w:rsidRPr="00337195">
        <w:rPr>
          <w:rFonts w:ascii="Times New Roman" w:eastAsia="Times New Roman" w:hAnsi="Times New Roman"/>
          <w:sz w:val="28"/>
          <w:szCs w:val="28"/>
          <w:lang w:eastAsia="ru-RU"/>
        </w:rPr>
        <w:t>В 0.8 мл препарата содержится:</w:t>
      </w:r>
    </w:p>
    <w:p w14:paraId="1CA68C58" w14:textId="77777777" w:rsidR="00377972" w:rsidRPr="00613D39" w:rsidRDefault="00D02027" w:rsidP="00C9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68736C"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ктивное </w:t>
      </w:r>
      <w:r w:rsidR="00456702"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>вещество</w:t>
      </w:r>
      <w:r w:rsidR="00456702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666BB" w:rsidRPr="00613D3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77972" w:rsidRPr="00613D39">
        <w:rPr>
          <w:rFonts w:ascii="Times New Roman" w:eastAsia="Times New Roman" w:hAnsi="Times New Roman"/>
          <w:sz w:val="28"/>
          <w:szCs w:val="28"/>
          <w:lang w:eastAsia="ru-RU"/>
        </w:rPr>
        <w:t>далимумаб</w:t>
      </w:r>
      <w:proofErr w:type="spellEnd"/>
      <w:r w:rsidR="00377972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40</w:t>
      </w:r>
      <w:r w:rsidR="008A7951" w:rsidRPr="00613D3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77972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мг </w:t>
      </w:r>
    </w:p>
    <w:p w14:paraId="3C62C823" w14:textId="77777777" w:rsidR="00864C7A" w:rsidRPr="00613D39" w:rsidRDefault="00E53522" w:rsidP="00C9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68736C"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>спомогательн</w:t>
      </w:r>
      <w:r w:rsidR="00456702"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>ые</w:t>
      </w:r>
      <w:r w:rsidR="0068736C"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веществ</w:t>
      </w:r>
      <w:r w:rsidR="00456702" w:rsidRPr="00613D39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B7221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1A08BE" w:rsidRPr="00613D3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68736C" w:rsidRPr="00613D39">
        <w:rPr>
          <w:rFonts w:ascii="Times New Roman" w:eastAsia="Times New Roman" w:hAnsi="Times New Roman"/>
          <w:sz w:val="28"/>
          <w:szCs w:val="28"/>
          <w:lang w:eastAsia="ru-RU"/>
        </w:rPr>
        <w:t>инатрия</w:t>
      </w:r>
      <w:proofErr w:type="spellEnd"/>
      <w:r w:rsidR="0068736C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736C" w:rsidRPr="00613D39">
        <w:rPr>
          <w:rFonts w:ascii="Times New Roman" w:eastAsia="Times New Roman" w:hAnsi="Times New Roman"/>
          <w:sz w:val="28"/>
          <w:szCs w:val="28"/>
          <w:lang w:eastAsia="ru-RU"/>
        </w:rPr>
        <w:t>гидрофосфата</w:t>
      </w:r>
      <w:proofErr w:type="spellEnd"/>
      <w:r w:rsidR="0068736C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дигидрат</w:t>
      </w:r>
      <w:r w:rsidR="0012659C" w:rsidRPr="00613D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82757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59C" w:rsidRPr="00613D3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8736C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атрия </w:t>
      </w:r>
      <w:proofErr w:type="spellStart"/>
      <w:r w:rsidR="0068736C" w:rsidRPr="00613D39">
        <w:rPr>
          <w:rFonts w:ascii="Times New Roman" w:eastAsia="Times New Roman" w:hAnsi="Times New Roman"/>
          <w:sz w:val="28"/>
          <w:szCs w:val="28"/>
          <w:lang w:eastAsia="ru-RU"/>
        </w:rPr>
        <w:t>дигидрофосфата</w:t>
      </w:r>
      <w:proofErr w:type="spellEnd"/>
      <w:r w:rsidR="0068736C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дигидрат</w:t>
      </w:r>
      <w:r w:rsidR="0012659C" w:rsidRPr="00613D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82757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659C" w:rsidRPr="00613D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8736C" w:rsidRPr="00613D39">
        <w:rPr>
          <w:rFonts w:ascii="Times New Roman" w:eastAsia="Times New Roman" w:hAnsi="Times New Roman"/>
          <w:sz w:val="28"/>
          <w:szCs w:val="28"/>
          <w:lang w:eastAsia="ru-RU"/>
        </w:rPr>
        <w:t>олисорбат</w:t>
      </w:r>
      <w:proofErr w:type="spellEnd"/>
      <w:r w:rsidR="0068736C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80</w:t>
      </w:r>
      <w:r w:rsidR="0012659C" w:rsidRPr="00613D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82757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64C7A" w:rsidRPr="00613D39">
        <w:rPr>
          <w:rFonts w:ascii="Times New Roman" w:eastAsia="Times New Roman" w:hAnsi="Times New Roman"/>
          <w:sz w:val="28"/>
          <w:szCs w:val="28"/>
          <w:lang w:eastAsia="ru-RU"/>
        </w:rPr>
        <w:t>маннитол</w:t>
      </w:r>
      <w:proofErr w:type="spellEnd"/>
      <w:r w:rsidR="00864C7A" w:rsidRPr="00613D39">
        <w:rPr>
          <w:rFonts w:ascii="Times New Roman" w:eastAsia="Times New Roman" w:hAnsi="Times New Roman"/>
          <w:sz w:val="28"/>
          <w:szCs w:val="28"/>
          <w:lang w:eastAsia="ru-RU"/>
        </w:rPr>
        <w:t>, лимонной</w:t>
      </w:r>
      <w:r w:rsidR="0068736C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кислоты </w:t>
      </w:r>
      <w:r w:rsidR="00864C7A" w:rsidRPr="00613D39">
        <w:rPr>
          <w:rFonts w:ascii="Times New Roman" w:eastAsia="Times New Roman" w:hAnsi="Times New Roman"/>
          <w:sz w:val="28"/>
          <w:szCs w:val="28"/>
          <w:lang w:eastAsia="ru-RU"/>
        </w:rPr>
        <w:t>моногидрат, натрия</w:t>
      </w:r>
      <w:r w:rsidR="0068736C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цитрат</w:t>
      </w:r>
      <w:r w:rsidR="00864C7A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82757" w:rsidRPr="00613D3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8736C" w:rsidRPr="00613D39">
        <w:rPr>
          <w:rFonts w:ascii="Times New Roman" w:eastAsia="Times New Roman" w:hAnsi="Times New Roman"/>
          <w:sz w:val="28"/>
          <w:szCs w:val="28"/>
          <w:lang w:eastAsia="ru-RU"/>
        </w:rPr>
        <w:t>атрия хлорид</w:t>
      </w:r>
      <w:r w:rsidR="00864C7A"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82757" w:rsidRPr="00613D3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8736C" w:rsidRPr="00613D39">
        <w:rPr>
          <w:rFonts w:ascii="Times New Roman" w:eastAsia="Times New Roman" w:hAnsi="Times New Roman"/>
          <w:sz w:val="28"/>
          <w:szCs w:val="28"/>
          <w:lang w:eastAsia="ru-RU"/>
        </w:rPr>
        <w:t>атрия гидрокси</w:t>
      </w:r>
      <w:r w:rsidR="001A08BE" w:rsidRPr="00613D3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64C7A" w:rsidRPr="00613D39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68736C" w:rsidRPr="00613D39">
        <w:rPr>
          <w:rFonts w:ascii="Times New Roman" w:eastAsia="Times New Roman" w:hAnsi="Times New Roman"/>
          <w:sz w:val="28"/>
          <w:szCs w:val="28"/>
          <w:lang w:eastAsia="ru-RU"/>
        </w:rPr>
        <w:t>ода для инъекций</w:t>
      </w:r>
      <w:r w:rsidR="00A3487A" w:rsidRPr="00613D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A4C696" w14:textId="77777777" w:rsidR="006B7A90" w:rsidRPr="00613D39" w:rsidRDefault="006B7A90" w:rsidP="00C9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9"/>
    <w:p w14:paraId="30633ED0" w14:textId="77777777" w:rsidR="00A5583B" w:rsidRPr="00A5583B" w:rsidRDefault="00A5583B" w:rsidP="00A5583B">
      <w:pPr>
        <w:pStyle w:val="ac"/>
        <w:rPr>
          <w:rFonts w:ascii="Times New Roman" w:hAnsi="Times New Roman"/>
          <w:bCs/>
          <w:sz w:val="28"/>
          <w:szCs w:val="28"/>
          <w:lang w:eastAsia="ru-RU"/>
        </w:rPr>
      </w:pPr>
      <w:r w:rsidRPr="00A5583B">
        <w:rPr>
          <w:rFonts w:ascii="Times New Roman" w:hAnsi="Times New Roman"/>
          <w:bCs/>
          <w:sz w:val="28"/>
          <w:szCs w:val="28"/>
          <w:lang w:eastAsia="ru-RU"/>
        </w:rPr>
        <w:t>Опалесцирующий раствор светло-коричневого цвета.</w:t>
      </w:r>
    </w:p>
    <w:p w14:paraId="6A6D6EA0" w14:textId="77777777" w:rsidR="008C5F56" w:rsidRDefault="008C5F56" w:rsidP="00C92F6F">
      <w:pPr>
        <w:pStyle w:val="ac"/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339F1C1" w14:textId="77777777" w:rsidR="00130EDC" w:rsidRDefault="00130EDC" w:rsidP="00C92F6F">
      <w:pPr>
        <w:pStyle w:val="ac"/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0FC35BB" w14:textId="77777777" w:rsidR="00C9308C" w:rsidRPr="00613D39" w:rsidRDefault="00002AC2" w:rsidP="00C9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" w:name="2175220287"/>
      <w:r w:rsidRPr="00613D3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</w:t>
      </w:r>
      <w:r w:rsidR="00C9308C" w:rsidRPr="00613D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упаковка</w:t>
      </w:r>
    </w:p>
    <w:p w14:paraId="46A61EC0" w14:textId="77777777" w:rsidR="002B7858" w:rsidRPr="00613D39" w:rsidRDefault="002B7858" w:rsidP="00C9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0.8 мл препарата помещают в трехкомпонентные шприцы. Цилиндр каждого шприца изготовлен из бесцветного нейтрального стекла I гидролитического класса. Шприц</w:t>
      </w:r>
      <w:r w:rsidR="00ED3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13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одной стороны</w:t>
      </w:r>
      <w:r w:rsidR="00ED3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13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впаянную иглу для инъекций из нержавеющей стали, которая защищена жестким колпачком. С другой стороны, шприц укупорен поршнем, шток которого изготовлен из полипропилена; на конце поршня имеется уплотнитель из бутилкаучука, ламинированный фторполимером. На каждый шприц наклеивают самоклеящуюся этикетку. </w:t>
      </w:r>
    </w:p>
    <w:p w14:paraId="6DF69818" w14:textId="77777777" w:rsidR="002B7858" w:rsidRPr="00613D39" w:rsidRDefault="002B7858" w:rsidP="00C92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1 шприцу помещают в контурную ячейковую упаковку из пленки ПВХ. По 2 контурных ячейковых упаковк</w:t>
      </w:r>
      <w:r w:rsidR="00706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613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вместе с инструкцией по применению на казахском и русском языках помещают в пачку из картона. Пачку дополнительно комплектуют спиртовыми салфетками в количестве 2 шт.</w:t>
      </w:r>
    </w:p>
    <w:p w14:paraId="2835C396" w14:textId="77777777" w:rsidR="00AE26FB" w:rsidRPr="00613D39" w:rsidRDefault="002B7858" w:rsidP="002B78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стыки крышки и дна пачки с передней и задней гранями наклеивают немаркированные самоклеящиеся этикетки для контроля первого вскрытия.</w:t>
      </w:r>
    </w:p>
    <w:p w14:paraId="319D1681" w14:textId="77777777" w:rsidR="003B59E0" w:rsidRPr="00613D39" w:rsidRDefault="003B59E0" w:rsidP="002B78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751180" w14:textId="77777777" w:rsidR="00844CE8" w:rsidRPr="00613D39" w:rsidRDefault="00844CE8" w:rsidP="002B785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613D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613D39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</w:p>
    <w:p w14:paraId="102D5603" w14:textId="77777777" w:rsidR="00CB46B7" w:rsidRPr="00613D39" w:rsidRDefault="003F46F3" w:rsidP="00035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года</w:t>
      </w:r>
      <w:r w:rsidR="007A6BD2" w:rsidRPr="00613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64963F8" w14:textId="77777777" w:rsidR="000E01AB" w:rsidRPr="00613D39" w:rsidRDefault="00D14D61" w:rsidP="000357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613D39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613D39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388CE162" w14:textId="77777777" w:rsidR="000E01AB" w:rsidRPr="00613D39" w:rsidRDefault="00D14D61" w:rsidP="000357C0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bookmarkStart w:id="11" w:name="2175220288"/>
      <w:bookmarkEnd w:id="10"/>
      <w:r w:rsidRPr="00613D3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Условия хранения</w:t>
      </w:r>
    </w:p>
    <w:bookmarkEnd w:id="11"/>
    <w:p w14:paraId="0FAF4099" w14:textId="77777777" w:rsidR="003F46F3" w:rsidRPr="00613D39" w:rsidRDefault="003F46F3" w:rsidP="003F46F3">
      <w:pPr>
        <w:pStyle w:val="ac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температуре от 2</w:t>
      </w:r>
      <w:r w:rsidR="008D2FD2" w:rsidRPr="00613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°С </w:t>
      </w:r>
      <w:r w:rsidRPr="00613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8 °С в защищенном от света месте. Не замораживать.</w:t>
      </w:r>
    </w:p>
    <w:p w14:paraId="514DF8CF" w14:textId="77777777" w:rsidR="0088739F" w:rsidRPr="00613D39" w:rsidRDefault="003F46F3" w:rsidP="003F46F3">
      <w:pPr>
        <w:pStyle w:val="ac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Хранить в недоступном для детей месте</w:t>
      </w:r>
      <w:r w:rsidR="008D2FD2" w:rsidRPr="00613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14:paraId="374F0520" w14:textId="77777777" w:rsidR="009D7053" w:rsidRPr="00613D39" w:rsidRDefault="009D7053" w:rsidP="009D7053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необходимости (например, во время путешествия) </w:t>
      </w:r>
      <w:r w:rsidR="00F6361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 </w:t>
      </w:r>
      <w:proofErr w:type="spellStart"/>
      <w:r w:rsidR="00F63615">
        <w:rPr>
          <w:rFonts w:ascii="Times New Roman" w:eastAsia="Times New Roman" w:hAnsi="Times New Roman"/>
          <w:sz w:val="28"/>
          <w:szCs w:val="28"/>
          <w:lang w:eastAsia="ru-RU"/>
        </w:rPr>
        <w:t>Адалира</w:t>
      </w:r>
      <w:proofErr w:type="spellEnd"/>
      <w:r w:rsidRPr="00613D39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допускается хранить при комнатной температуре (до 25°С) в защищенном от света месте не более 14 дней. С момента извлечения из холодильника шприц должен быть использован в течение 14 дней, если шприц после извлечения из холодильника не будет использован в течение этого срока, он должен быть уничтожен. Для удобства рекомендуется записать дату извлечения шприца из холодильника и срок, в течение которого следует использовать препарат</w:t>
      </w:r>
      <w:r w:rsidR="008E73C5" w:rsidRPr="00613D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8473FD" w14:textId="77777777" w:rsidR="003B59E0" w:rsidRPr="00613D39" w:rsidRDefault="003B59E0" w:rsidP="009D7053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62A92C" w14:textId="77777777" w:rsidR="00CB46B7" w:rsidRPr="00613D39" w:rsidRDefault="006C6558" w:rsidP="000357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13D39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1D00C4FE" w14:textId="77777777" w:rsidR="006C6558" w:rsidRPr="00613D39" w:rsidRDefault="00CB46B7" w:rsidP="000357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13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рецепту</w:t>
      </w:r>
    </w:p>
    <w:p w14:paraId="41920D1B" w14:textId="77777777" w:rsidR="006C6558" w:rsidRPr="00613D39" w:rsidRDefault="006C6558" w:rsidP="00AE26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0D8D91" w14:textId="77777777" w:rsidR="00CB46B7" w:rsidRPr="00613D39" w:rsidRDefault="007C1693" w:rsidP="000357C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производителе</w:t>
      </w:r>
    </w:p>
    <w:p w14:paraId="71FCB576" w14:textId="77777777" w:rsidR="00CB07D6" w:rsidRPr="00613D39" w:rsidRDefault="00CB07D6" w:rsidP="00CB07D6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  <w:r w:rsidRPr="00613D39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ТОО «Карагандинский фармацевтический комплекс» </w:t>
      </w:r>
    </w:p>
    <w:p w14:paraId="06CA5C24" w14:textId="77777777" w:rsidR="00CB07D6" w:rsidRPr="00613D39" w:rsidRDefault="00CB07D6" w:rsidP="00CB07D6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  <w:r w:rsidRPr="00613D39">
        <w:rPr>
          <w:rFonts w:ascii="Times New Roman" w:eastAsia="TimesNewRomanPS-BoldMT" w:hAnsi="Times New Roman"/>
          <w:bCs/>
          <w:sz w:val="28"/>
          <w:szCs w:val="28"/>
          <w:lang w:eastAsia="ru-RU"/>
        </w:rPr>
        <w:t>Республика Казахстан</w:t>
      </w:r>
    </w:p>
    <w:p w14:paraId="1C3D96B0" w14:textId="77777777" w:rsidR="00CB07D6" w:rsidRPr="00613D39" w:rsidRDefault="00CB07D6" w:rsidP="00CB07D6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  <w:r w:rsidRPr="00613D39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100009, г. Караганда, ул. </w:t>
      </w:r>
      <w:proofErr w:type="spellStart"/>
      <w:r w:rsidRPr="00613D39">
        <w:rPr>
          <w:rFonts w:ascii="Times New Roman" w:eastAsia="TimesNewRomanPS-BoldMT" w:hAnsi="Times New Roman"/>
          <w:bCs/>
          <w:sz w:val="28"/>
          <w:szCs w:val="28"/>
          <w:lang w:eastAsia="ru-RU"/>
        </w:rPr>
        <w:t>Газалиева</w:t>
      </w:r>
      <w:proofErr w:type="spellEnd"/>
      <w:r w:rsidRPr="00613D39">
        <w:rPr>
          <w:rFonts w:ascii="Times New Roman" w:eastAsia="TimesNewRomanPS-BoldMT" w:hAnsi="Times New Roman"/>
          <w:bCs/>
          <w:sz w:val="28"/>
          <w:szCs w:val="28"/>
          <w:lang w:eastAsia="ru-RU"/>
        </w:rPr>
        <w:t>, стр. 16</w:t>
      </w:r>
    </w:p>
    <w:p w14:paraId="01CAADF7" w14:textId="77777777" w:rsidR="00877D46" w:rsidRPr="00613D39" w:rsidRDefault="00CB07D6" w:rsidP="007754FD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  <w:r w:rsidRPr="00613D39">
        <w:rPr>
          <w:rFonts w:ascii="Times New Roman" w:eastAsia="TimesNewRomanPS-BoldMT" w:hAnsi="Times New Roman"/>
          <w:bCs/>
          <w:sz w:val="28"/>
          <w:szCs w:val="28"/>
          <w:lang w:eastAsia="ru-RU"/>
        </w:rPr>
        <w:t>Тел. (7212) 90-80-51, факс</w:t>
      </w:r>
      <w:r w:rsidR="008103DF" w:rsidRPr="00613D39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 </w:t>
      </w:r>
      <w:r w:rsidRPr="00613D39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(7212) 90-65-49, </w:t>
      </w:r>
      <w:r w:rsidRPr="00613D39">
        <w:rPr>
          <w:rFonts w:ascii="Times New Roman" w:eastAsia="TimesNewRomanPS-BoldMT" w:hAnsi="Times New Roman"/>
          <w:bCs/>
          <w:sz w:val="28"/>
          <w:szCs w:val="28"/>
          <w:lang w:val="en-US" w:eastAsia="ru-RU"/>
        </w:rPr>
        <w:t>e</w:t>
      </w:r>
      <w:r w:rsidRPr="00613D39">
        <w:rPr>
          <w:rFonts w:ascii="Times New Roman" w:eastAsia="TimesNewRomanPS-BoldMT" w:hAnsi="Times New Roman"/>
          <w:bCs/>
          <w:sz w:val="28"/>
          <w:szCs w:val="28"/>
          <w:lang w:eastAsia="ru-RU"/>
        </w:rPr>
        <w:t>-</w:t>
      </w:r>
      <w:r w:rsidRPr="00613D39">
        <w:rPr>
          <w:rFonts w:ascii="Times New Roman" w:eastAsia="TimesNewRomanPS-BoldMT" w:hAnsi="Times New Roman"/>
          <w:bCs/>
          <w:sz w:val="28"/>
          <w:szCs w:val="28"/>
          <w:lang w:val="en-US" w:eastAsia="ru-RU"/>
        </w:rPr>
        <w:t>mail</w:t>
      </w:r>
      <w:r w:rsidRPr="00613D39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: </w:t>
      </w:r>
      <w:hyperlink r:id="rId12" w:history="1">
        <w:r w:rsidRPr="00613D39">
          <w:rPr>
            <w:rFonts w:ascii="Times New Roman" w:eastAsia="TimesNewRomanPS-BoldMT" w:hAnsi="Times New Roman"/>
            <w:bCs/>
            <w:color w:val="0000FF"/>
            <w:sz w:val="28"/>
            <w:szCs w:val="28"/>
            <w:u w:val="single"/>
            <w:lang w:val="en-US" w:eastAsia="ru-RU"/>
          </w:rPr>
          <w:t>kphk</w:t>
        </w:r>
        <w:r w:rsidRPr="00613D39">
          <w:rPr>
            <w:rFonts w:ascii="Times New Roman" w:eastAsia="TimesNewRomanPS-BoldMT" w:hAnsi="Times New Roman"/>
            <w:bCs/>
            <w:color w:val="0000FF"/>
            <w:sz w:val="28"/>
            <w:szCs w:val="28"/>
            <w:u w:val="single"/>
            <w:lang w:eastAsia="ru-RU"/>
          </w:rPr>
          <w:t>@</w:t>
        </w:r>
        <w:r w:rsidRPr="00613D39">
          <w:rPr>
            <w:rFonts w:ascii="Times New Roman" w:eastAsia="TimesNewRomanPS-BoldMT" w:hAnsi="Times New Roman"/>
            <w:bCs/>
            <w:color w:val="0000FF"/>
            <w:sz w:val="28"/>
            <w:szCs w:val="28"/>
            <w:u w:val="single"/>
            <w:lang w:val="en-US" w:eastAsia="ru-RU"/>
          </w:rPr>
          <w:t>kphk</w:t>
        </w:r>
        <w:r w:rsidRPr="00613D39">
          <w:rPr>
            <w:rFonts w:ascii="Times New Roman" w:eastAsia="TimesNewRomanPS-BoldMT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13D39">
          <w:rPr>
            <w:rFonts w:ascii="Times New Roman" w:eastAsia="TimesNewRomanPS-BoldMT" w:hAnsi="Times New Roman"/>
            <w:bCs/>
            <w:color w:val="0000FF"/>
            <w:sz w:val="28"/>
            <w:szCs w:val="28"/>
            <w:u w:val="single"/>
            <w:lang w:val="en-US" w:eastAsia="ru-RU"/>
          </w:rPr>
          <w:t>kz</w:t>
        </w:r>
        <w:proofErr w:type="spellEnd"/>
      </w:hyperlink>
    </w:p>
    <w:p w14:paraId="57808FE8" w14:textId="77777777" w:rsidR="00006A3D" w:rsidRDefault="00006A3D" w:rsidP="007754FD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1D9371" w14:textId="77777777" w:rsidR="009F1D24" w:rsidRPr="00613D39" w:rsidRDefault="009F1D24" w:rsidP="007754FD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AE56ED" w14:textId="77777777" w:rsidR="00D76048" w:rsidRPr="00613D39" w:rsidRDefault="005A3C81" w:rsidP="000357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Держатель</w:t>
      </w:r>
      <w:r w:rsidR="00D76048" w:rsidRPr="00613D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4A49AC1F" w14:textId="77777777" w:rsidR="009D2B3C" w:rsidRPr="00613D39" w:rsidRDefault="009D2B3C" w:rsidP="009D2B3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Cs/>
          <w:sz w:val="28"/>
          <w:szCs w:val="28"/>
          <w:lang w:eastAsia="ru-RU"/>
        </w:rPr>
        <w:t>ТОО «Карагандин</w:t>
      </w:r>
      <w:r w:rsidR="008103DF" w:rsidRPr="00613D39">
        <w:rPr>
          <w:rFonts w:ascii="Times New Roman" w:eastAsia="Times New Roman" w:hAnsi="Times New Roman"/>
          <w:bCs/>
          <w:sz w:val="28"/>
          <w:szCs w:val="28"/>
          <w:lang w:eastAsia="ru-RU"/>
        </w:rPr>
        <w:t>ский фармацевтический комплекс»</w:t>
      </w:r>
    </w:p>
    <w:p w14:paraId="075CFBEE" w14:textId="77777777" w:rsidR="009D2B3C" w:rsidRPr="00613D39" w:rsidRDefault="009D2B3C" w:rsidP="009D2B3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Республика Казахстан</w:t>
      </w:r>
    </w:p>
    <w:p w14:paraId="153984B3" w14:textId="77777777" w:rsidR="009D2B3C" w:rsidRPr="00613D39" w:rsidRDefault="009D2B3C" w:rsidP="009D2B3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100009, г. Караганда, ул. </w:t>
      </w:r>
      <w:proofErr w:type="spellStart"/>
      <w:r w:rsidRPr="00613D39">
        <w:rPr>
          <w:rFonts w:ascii="Times New Roman" w:eastAsia="Times New Roman" w:hAnsi="Times New Roman"/>
          <w:bCs/>
          <w:sz w:val="28"/>
          <w:szCs w:val="28"/>
          <w:lang w:eastAsia="ru-RU"/>
        </w:rPr>
        <w:t>Газалиева</w:t>
      </w:r>
      <w:proofErr w:type="spellEnd"/>
      <w:r w:rsidRPr="00613D39">
        <w:rPr>
          <w:rFonts w:ascii="Times New Roman" w:eastAsia="Times New Roman" w:hAnsi="Times New Roman"/>
          <w:bCs/>
          <w:sz w:val="28"/>
          <w:szCs w:val="28"/>
          <w:lang w:eastAsia="ru-RU"/>
        </w:rPr>
        <w:t>, стр. 16</w:t>
      </w:r>
    </w:p>
    <w:p w14:paraId="5AA47315" w14:textId="77777777" w:rsidR="009D2B3C" w:rsidRPr="00613D39" w:rsidRDefault="009D2B3C" w:rsidP="009D2B3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D39">
        <w:rPr>
          <w:rFonts w:ascii="Times New Roman" w:eastAsia="Times New Roman" w:hAnsi="Times New Roman"/>
          <w:bCs/>
          <w:sz w:val="28"/>
          <w:szCs w:val="28"/>
          <w:lang w:eastAsia="ru-RU"/>
        </w:rPr>
        <w:t>Тел. (7212) 90-80-51, факс</w:t>
      </w:r>
      <w:r w:rsidR="008103DF" w:rsidRPr="00613D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13D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(7212) 90-65-49, </w:t>
      </w:r>
      <w:r w:rsidRPr="00613D3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</w:t>
      </w:r>
      <w:r w:rsidRPr="00613D39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613D3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mail</w:t>
      </w:r>
      <w:r w:rsidRPr="00613D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hyperlink r:id="rId13" w:history="1">
        <w:r w:rsidRPr="00613D39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kphk</w:t>
        </w:r>
        <w:r w:rsidRPr="00613D39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@</w:t>
        </w:r>
        <w:r w:rsidRPr="00613D39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kphk</w:t>
        </w:r>
        <w:r w:rsidRPr="00613D39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Pr="00613D39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kz</w:t>
        </w:r>
        <w:proofErr w:type="spellEnd"/>
      </w:hyperlink>
    </w:p>
    <w:p w14:paraId="71DFE556" w14:textId="77777777" w:rsidR="00FF18D6" w:rsidRPr="00613D39" w:rsidRDefault="00FF18D6" w:rsidP="009D2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6E05FC" w14:textId="77777777" w:rsidR="00F8747E" w:rsidRPr="00613D39" w:rsidRDefault="00F8747E" w:rsidP="000357C0">
      <w:pPr>
        <w:pStyle w:val="2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613D39">
        <w:rPr>
          <w:rFonts w:ascii="Times New Roman" w:hAnsi="Times New Roman"/>
          <w:b/>
          <w:iCs/>
          <w:sz w:val="28"/>
          <w:szCs w:val="28"/>
          <w:lang w:val="kk-KZ"/>
        </w:rPr>
        <w:t>Наименова</w:t>
      </w:r>
      <w:r w:rsidR="00CB07D6" w:rsidRPr="00613D39">
        <w:rPr>
          <w:rFonts w:ascii="Times New Roman" w:hAnsi="Times New Roman"/>
          <w:b/>
          <w:iCs/>
          <w:sz w:val="28"/>
          <w:szCs w:val="28"/>
          <w:lang w:val="kk-KZ"/>
        </w:rPr>
        <w:t xml:space="preserve">ние, адрес и контактные данные </w:t>
      </w:r>
      <w:r w:rsidRPr="00613D39">
        <w:rPr>
          <w:rFonts w:ascii="Times New Roman" w:hAnsi="Times New Roman"/>
          <w:b/>
          <w:iCs/>
          <w:sz w:val="28"/>
          <w:szCs w:val="28"/>
          <w:lang w:val="kk-KZ"/>
        </w:rPr>
        <w:t xml:space="preserve">(телефон, </w:t>
      </w:r>
      <w:r w:rsidR="00CB07D6" w:rsidRPr="00613D39">
        <w:rPr>
          <w:rFonts w:ascii="Times New Roman" w:hAnsi="Times New Roman"/>
          <w:b/>
          <w:iCs/>
          <w:sz w:val="28"/>
          <w:szCs w:val="28"/>
          <w:lang w:val="kk-KZ"/>
        </w:rPr>
        <w:t xml:space="preserve">факс, </w:t>
      </w:r>
      <w:r w:rsidRPr="00613D39">
        <w:rPr>
          <w:rFonts w:ascii="Times New Roman" w:hAnsi="Times New Roman"/>
          <w:b/>
          <w:iCs/>
          <w:sz w:val="28"/>
          <w:szCs w:val="28"/>
          <w:lang w:val="kk-KZ"/>
        </w:rPr>
        <w:t xml:space="preserve">электронная почта) </w:t>
      </w:r>
      <w:r w:rsidR="00130350" w:rsidRPr="00613D39">
        <w:rPr>
          <w:rFonts w:ascii="Times New Roman" w:hAnsi="Times New Roman"/>
          <w:b/>
          <w:iCs/>
          <w:color w:val="000000"/>
          <w:sz w:val="28"/>
          <w:szCs w:val="28"/>
        </w:rPr>
        <w:t xml:space="preserve">организации на </w:t>
      </w:r>
      <w:r w:rsidRPr="00613D39">
        <w:rPr>
          <w:rFonts w:ascii="Times New Roman" w:hAnsi="Times New Roman"/>
          <w:b/>
          <w:iCs/>
          <w:color w:val="000000"/>
          <w:sz w:val="28"/>
          <w:szCs w:val="28"/>
        </w:rPr>
        <w:t>территории Республики Казахстан, прин</w:t>
      </w:r>
      <w:r w:rsidR="00CB07D6" w:rsidRPr="00613D39">
        <w:rPr>
          <w:rFonts w:ascii="Times New Roman" w:hAnsi="Times New Roman"/>
          <w:b/>
          <w:iCs/>
          <w:color w:val="000000"/>
          <w:sz w:val="28"/>
          <w:szCs w:val="28"/>
        </w:rPr>
        <w:t>имающей претензии (предложения) по качеству лекарственных средств от потребителей и</w:t>
      </w:r>
      <w:r w:rsidR="00096652" w:rsidRPr="00613D39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613D39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ответственной</w:t>
      </w:r>
      <w:proofErr w:type="spellEnd"/>
      <w:r w:rsidRPr="00613D39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3D39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613D39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3D39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пострегистрационное</w:t>
      </w:r>
      <w:proofErr w:type="spellEnd"/>
      <w:r w:rsidRPr="00613D39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3D39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наблюдение</w:t>
      </w:r>
      <w:proofErr w:type="spellEnd"/>
      <w:r w:rsidRPr="00613D39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3D39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613D39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3D39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безопасностью</w:t>
      </w:r>
      <w:proofErr w:type="spellEnd"/>
      <w:r w:rsidRPr="00613D39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3D39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лекарственного</w:t>
      </w:r>
      <w:proofErr w:type="spellEnd"/>
      <w:r w:rsidRPr="00613D39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3D39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средства</w:t>
      </w:r>
      <w:proofErr w:type="spellEnd"/>
    </w:p>
    <w:p w14:paraId="58E86432" w14:textId="77777777" w:rsidR="00B03333" w:rsidRPr="00613D39" w:rsidRDefault="00B03333" w:rsidP="00B0333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3D39">
        <w:rPr>
          <w:rFonts w:ascii="Times New Roman" w:hAnsi="Times New Roman"/>
          <w:bCs/>
          <w:color w:val="000000"/>
          <w:sz w:val="28"/>
          <w:szCs w:val="28"/>
        </w:rPr>
        <w:t>ТОО «Карагандин</w:t>
      </w:r>
      <w:r w:rsidR="008103DF" w:rsidRPr="00613D39">
        <w:rPr>
          <w:rFonts w:ascii="Times New Roman" w:hAnsi="Times New Roman"/>
          <w:bCs/>
          <w:color w:val="000000"/>
          <w:sz w:val="28"/>
          <w:szCs w:val="28"/>
        </w:rPr>
        <w:t>ский фармацевтический комплекс»</w:t>
      </w:r>
    </w:p>
    <w:p w14:paraId="6658AF39" w14:textId="77777777" w:rsidR="00B03333" w:rsidRPr="00613D39" w:rsidRDefault="00B03333" w:rsidP="00B0333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3D39">
        <w:rPr>
          <w:rFonts w:ascii="Times New Roman" w:hAnsi="Times New Roman"/>
          <w:bCs/>
          <w:color w:val="000000"/>
          <w:sz w:val="28"/>
          <w:szCs w:val="28"/>
        </w:rPr>
        <w:t>Республика Казахстан</w:t>
      </w:r>
    </w:p>
    <w:p w14:paraId="73470E79" w14:textId="77777777" w:rsidR="00B03333" w:rsidRPr="00613D39" w:rsidRDefault="00B03333" w:rsidP="00B0333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3D39">
        <w:rPr>
          <w:rFonts w:ascii="Times New Roman" w:hAnsi="Times New Roman"/>
          <w:bCs/>
          <w:color w:val="000000"/>
          <w:sz w:val="28"/>
          <w:szCs w:val="28"/>
        </w:rPr>
        <w:t xml:space="preserve">100009, г. Караганда, ул. </w:t>
      </w:r>
      <w:proofErr w:type="spellStart"/>
      <w:r w:rsidRPr="00613D39">
        <w:rPr>
          <w:rFonts w:ascii="Times New Roman" w:hAnsi="Times New Roman"/>
          <w:bCs/>
          <w:color w:val="000000"/>
          <w:sz w:val="28"/>
          <w:szCs w:val="28"/>
        </w:rPr>
        <w:t>Газалиева</w:t>
      </w:r>
      <w:proofErr w:type="spellEnd"/>
      <w:r w:rsidRPr="00613D39">
        <w:rPr>
          <w:rFonts w:ascii="Times New Roman" w:hAnsi="Times New Roman"/>
          <w:bCs/>
          <w:color w:val="000000"/>
          <w:sz w:val="28"/>
          <w:szCs w:val="28"/>
        </w:rPr>
        <w:t>, стр. 16</w:t>
      </w:r>
    </w:p>
    <w:p w14:paraId="08031FF6" w14:textId="77777777" w:rsidR="00B03333" w:rsidRPr="00613D39" w:rsidRDefault="00B03333" w:rsidP="00B0333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3D39">
        <w:rPr>
          <w:rFonts w:ascii="Times New Roman" w:hAnsi="Times New Roman"/>
          <w:bCs/>
          <w:color w:val="000000"/>
          <w:sz w:val="28"/>
          <w:szCs w:val="28"/>
        </w:rPr>
        <w:t>Телефон: (7212) 90-80-51, (7212) 90-80-43, факс: (7212) 90-65-49</w:t>
      </w:r>
    </w:p>
    <w:p w14:paraId="7AEDD856" w14:textId="3A5AB787" w:rsidR="001B52E8" w:rsidRPr="005728CD" w:rsidRDefault="009406D4" w:rsidP="00B03333">
      <w:pPr>
        <w:spacing w:after="0" w:line="240" w:lineRule="auto"/>
        <w:jc w:val="both"/>
        <w:rPr>
          <w:rStyle w:val="af"/>
          <w:rFonts w:ascii="Times New Roman" w:hAnsi="Times New Roman"/>
          <w:bCs/>
          <w:sz w:val="28"/>
          <w:szCs w:val="28"/>
        </w:rPr>
      </w:pPr>
      <w:r w:rsidRPr="00613D39"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="00B03333" w:rsidRPr="005728CD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B03333" w:rsidRPr="00613D39">
        <w:rPr>
          <w:rFonts w:ascii="Times New Roman" w:hAnsi="Times New Roman"/>
          <w:bCs/>
          <w:color w:val="000000"/>
          <w:sz w:val="28"/>
          <w:szCs w:val="28"/>
          <w:lang w:val="en-US"/>
        </w:rPr>
        <w:t>mail</w:t>
      </w:r>
      <w:r w:rsidR="00B03333" w:rsidRPr="005728CD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hyperlink r:id="rId14" w:history="1">
        <w:r w:rsidR="00B03333" w:rsidRPr="00613D39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kphk</w:t>
        </w:r>
        <w:r w:rsidR="00B03333" w:rsidRPr="005728CD">
          <w:rPr>
            <w:rStyle w:val="af"/>
            <w:rFonts w:ascii="Times New Roman" w:hAnsi="Times New Roman"/>
            <w:bCs/>
            <w:sz w:val="28"/>
            <w:szCs w:val="28"/>
          </w:rPr>
          <w:t>@</w:t>
        </w:r>
        <w:r w:rsidR="00B03333" w:rsidRPr="00613D39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kphk</w:t>
        </w:r>
        <w:r w:rsidR="00B03333" w:rsidRPr="005728CD">
          <w:rPr>
            <w:rStyle w:val="af"/>
            <w:rFonts w:ascii="Times New Roman" w:hAnsi="Times New Roman"/>
            <w:bCs/>
            <w:sz w:val="28"/>
            <w:szCs w:val="28"/>
          </w:rPr>
          <w:t>.</w:t>
        </w:r>
        <w:r w:rsidR="00B03333" w:rsidRPr="00613D39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kz</w:t>
        </w:r>
      </w:hyperlink>
      <w:r w:rsidR="00B03333" w:rsidRPr="005728CD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hyperlink r:id="rId15" w:history="1">
        <w:r w:rsidR="00B03333" w:rsidRPr="00613D39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medinfo</w:t>
        </w:r>
        <w:r w:rsidR="00B03333" w:rsidRPr="005728CD">
          <w:rPr>
            <w:rStyle w:val="af"/>
            <w:rFonts w:ascii="Times New Roman" w:hAnsi="Times New Roman"/>
            <w:bCs/>
            <w:sz w:val="28"/>
            <w:szCs w:val="28"/>
          </w:rPr>
          <w:t>@</w:t>
        </w:r>
        <w:r w:rsidR="00B03333" w:rsidRPr="00613D39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kphk</w:t>
        </w:r>
        <w:r w:rsidR="00B03333" w:rsidRPr="005728CD">
          <w:rPr>
            <w:rStyle w:val="af"/>
            <w:rFonts w:ascii="Times New Roman" w:hAnsi="Times New Roman"/>
            <w:bCs/>
            <w:sz w:val="28"/>
            <w:szCs w:val="28"/>
          </w:rPr>
          <w:t>.</w:t>
        </w:r>
        <w:r w:rsidR="00B03333" w:rsidRPr="00613D39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kz</w:t>
        </w:r>
      </w:hyperlink>
    </w:p>
    <w:sectPr w:rsidR="001B52E8" w:rsidRPr="005728CD" w:rsidSect="00F97B57">
      <w:headerReference w:type="defaul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C2934" w14:textId="77777777" w:rsidR="005728CD" w:rsidRDefault="005728CD" w:rsidP="00D275FC">
      <w:pPr>
        <w:spacing w:after="0" w:line="240" w:lineRule="auto"/>
      </w:pPr>
      <w:r>
        <w:separator/>
      </w:r>
    </w:p>
  </w:endnote>
  <w:endnote w:type="continuationSeparator" w:id="0">
    <w:p w14:paraId="564C27A8" w14:textId="77777777" w:rsidR="005728CD" w:rsidRDefault="005728CD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B4354" w14:textId="77777777" w:rsidR="005728CD" w:rsidRDefault="005728CD" w:rsidP="00D275FC">
      <w:pPr>
        <w:spacing w:after="0" w:line="240" w:lineRule="auto"/>
      </w:pPr>
      <w:r>
        <w:separator/>
      </w:r>
    </w:p>
  </w:footnote>
  <w:footnote w:type="continuationSeparator" w:id="0">
    <w:p w14:paraId="7BF80B41" w14:textId="77777777" w:rsidR="005728CD" w:rsidRDefault="005728CD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E147" w14:textId="77777777" w:rsidR="005728CD" w:rsidRDefault="005728CD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E6DBE" wp14:editId="2944E160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86E110" w14:textId="77777777" w:rsidR="005728CD" w:rsidRPr="00D275FC" w:rsidRDefault="005728C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E6DBE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14:paraId="5286E110" w14:textId="77777777" w:rsidR="005728CD" w:rsidRPr="00D275FC" w:rsidRDefault="005728C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2" type="#_x0000_t75" style="width:3pt;height:2.25pt;visibility:visible" o:bullet="t">
        <v:imagedata r:id="rId1" o:title=""/>
      </v:shape>
    </w:pict>
  </w:numPicBullet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5D96"/>
    <w:multiLevelType w:val="singleLevel"/>
    <w:tmpl w:val="3B9AEA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E43"/>
    <w:multiLevelType w:val="hybridMultilevel"/>
    <w:tmpl w:val="FD321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939CC"/>
    <w:multiLevelType w:val="multilevel"/>
    <w:tmpl w:val="696E26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65114"/>
    <w:multiLevelType w:val="singleLevel"/>
    <w:tmpl w:val="9A005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</w:abstractNum>
  <w:abstractNum w:abstractNumId="10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C6DA7"/>
    <w:multiLevelType w:val="hybridMultilevel"/>
    <w:tmpl w:val="B0BA7BCC"/>
    <w:lvl w:ilvl="0" w:tplc="E2DA8B4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EDE39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70389"/>
    <w:multiLevelType w:val="multilevel"/>
    <w:tmpl w:val="56F683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46DD6"/>
    <w:multiLevelType w:val="hybridMultilevel"/>
    <w:tmpl w:val="25847CB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C6882"/>
    <w:multiLevelType w:val="hybridMultilevel"/>
    <w:tmpl w:val="5C0A7420"/>
    <w:lvl w:ilvl="0" w:tplc="176A9C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F05F4"/>
    <w:multiLevelType w:val="hybridMultilevel"/>
    <w:tmpl w:val="9064B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E39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43283"/>
    <w:multiLevelType w:val="hybridMultilevel"/>
    <w:tmpl w:val="342E55E2"/>
    <w:lvl w:ilvl="0" w:tplc="C9C88A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312F8"/>
    <w:multiLevelType w:val="hybridMultilevel"/>
    <w:tmpl w:val="F2BCA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51F46"/>
    <w:multiLevelType w:val="hybridMultilevel"/>
    <w:tmpl w:val="E24E678C"/>
    <w:lvl w:ilvl="0" w:tplc="CB0C3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"/>
  </w:num>
  <w:num w:numId="4">
    <w:abstractNumId w:val="30"/>
  </w:num>
  <w:num w:numId="5">
    <w:abstractNumId w:val="36"/>
  </w:num>
  <w:num w:numId="6">
    <w:abstractNumId w:val="6"/>
  </w:num>
  <w:num w:numId="7">
    <w:abstractNumId w:val="34"/>
  </w:num>
  <w:num w:numId="8">
    <w:abstractNumId w:val="11"/>
  </w:num>
  <w:num w:numId="9">
    <w:abstractNumId w:val="25"/>
  </w:num>
  <w:num w:numId="10">
    <w:abstractNumId w:val="12"/>
  </w:num>
  <w:num w:numId="11">
    <w:abstractNumId w:val="23"/>
  </w:num>
  <w:num w:numId="12">
    <w:abstractNumId w:val="29"/>
  </w:num>
  <w:num w:numId="13">
    <w:abstractNumId w:val="31"/>
  </w:num>
  <w:num w:numId="14">
    <w:abstractNumId w:val="17"/>
  </w:num>
  <w:num w:numId="15">
    <w:abstractNumId w:val="0"/>
  </w:num>
  <w:num w:numId="16">
    <w:abstractNumId w:val="35"/>
  </w:num>
  <w:num w:numId="17">
    <w:abstractNumId w:val="22"/>
  </w:num>
  <w:num w:numId="18">
    <w:abstractNumId w:val="21"/>
  </w:num>
  <w:num w:numId="19">
    <w:abstractNumId w:val="10"/>
  </w:num>
  <w:num w:numId="20">
    <w:abstractNumId w:val="1"/>
  </w:num>
  <w:num w:numId="21">
    <w:abstractNumId w:val="15"/>
  </w:num>
  <w:num w:numId="22">
    <w:abstractNumId w:val="5"/>
  </w:num>
  <w:num w:numId="23">
    <w:abstractNumId w:val="33"/>
  </w:num>
  <w:num w:numId="24">
    <w:abstractNumId w:val="16"/>
  </w:num>
  <w:num w:numId="25">
    <w:abstractNumId w:val="13"/>
  </w:num>
  <w:num w:numId="26">
    <w:abstractNumId w:val="14"/>
  </w:num>
  <w:num w:numId="27">
    <w:abstractNumId w:val="24"/>
  </w:num>
  <w:num w:numId="28">
    <w:abstractNumId w:val="28"/>
  </w:num>
  <w:num w:numId="29">
    <w:abstractNumId w:val="18"/>
  </w:num>
  <w:num w:numId="30">
    <w:abstractNumId w:val="9"/>
  </w:num>
  <w:num w:numId="31">
    <w:abstractNumId w:val="4"/>
  </w:num>
  <w:num w:numId="32">
    <w:abstractNumId w:val="8"/>
  </w:num>
  <w:num w:numId="33">
    <w:abstractNumId w:val="18"/>
    <w:lvlOverride w:ilvl="0">
      <w:startOverride w:val="14"/>
    </w:lvlOverride>
  </w:num>
  <w:num w:numId="34">
    <w:abstractNumId w:val="7"/>
  </w:num>
  <w:num w:numId="35">
    <w:abstractNumId w:val="19"/>
  </w:num>
  <w:num w:numId="36">
    <w:abstractNumId w:val="32"/>
  </w:num>
  <w:num w:numId="37">
    <w:abstractNumId w:val="2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48"/>
    <w:rsid w:val="00000B75"/>
    <w:rsid w:val="00001040"/>
    <w:rsid w:val="00002AC2"/>
    <w:rsid w:val="00004B0B"/>
    <w:rsid w:val="00005A73"/>
    <w:rsid w:val="00006A3D"/>
    <w:rsid w:val="00006BCA"/>
    <w:rsid w:val="00007C97"/>
    <w:rsid w:val="00010304"/>
    <w:rsid w:val="00010371"/>
    <w:rsid w:val="000103B6"/>
    <w:rsid w:val="00010A1E"/>
    <w:rsid w:val="00011537"/>
    <w:rsid w:val="00012400"/>
    <w:rsid w:val="0001388D"/>
    <w:rsid w:val="00016678"/>
    <w:rsid w:val="0001706D"/>
    <w:rsid w:val="0001781F"/>
    <w:rsid w:val="000207A9"/>
    <w:rsid w:val="00020C53"/>
    <w:rsid w:val="0002143D"/>
    <w:rsid w:val="000236AE"/>
    <w:rsid w:val="000264BB"/>
    <w:rsid w:val="00026ECF"/>
    <w:rsid w:val="00033FC1"/>
    <w:rsid w:val="0003555A"/>
    <w:rsid w:val="0003564A"/>
    <w:rsid w:val="000357C0"/>
    <w:rsid w:val="00035B5A"/>
    <w:rsid w:val="00035F33"/>
    <w:rsid w:val="000374C4"/>
    <w:rsid w:val="00040575"/>
    <w:rsid w:val="00040C1B"/>
    <w:rsid w:val="00040D6D"/>
    <w:rsid w:val="00041B8A"/>
    <w:rsid w:val="00041F38"/>
    <w:rsid w:val="00042999"/>
    <w:rsid w:val="00043B73"/>
    <w:rsid w:val="00044BCC"/>
    <w:rsid w:val="00044C62"/>
    <w:rsid w:val="00044DE6"/>
    <w:rsid w:val="000452C9"/>
    <w:rsid w:val="000464BC"/>
    <w:rsid w:val="000468E0"/>
    <w:rsid w:val="000512AA"/>
    <w:rsid w:val="0005290C"/>
    <w:rsid w:val="00054499"/>
    <w:rsid w:val="000554C4"/>
    <w:rsid w:val="000568AA"/>
    <w:rsid w:val="00056BCE"/>
    <w:rsid w:val="00060A51"/>
    <w:rsid w:val="000624F2"/>
    <w:rsid w:val="000629EA"/>
    <w:rsid w:val="00064243"/>
    <w:rsid w:val="00064E3B"/>
    <w:rsid w:val="000651AF"/>
    <w:rsid w:val="00066834"/>
    <w:rsid w:val="000672CE"/>
    <w:rsid w:val="0007310B"/>
    <w:rsid w:val="00074281"/>
    <w:rsid w:val="00075827"/>
    <w:rsid w:val="00075FC0"/>
    <w:rsid w:val="000801CB"/>
    <w:rsid w:val="000806FA"/>
    <w:rsid w:val="0008089B"/>
    <w:rsid w:val="000816EF"/>
    <w:rsid w:val="00082068"/>
    <w:rsid w:val="00083C07"/>
    <w:rsid w:val="00083CEF"/>
    <w:rsid w:val="00083F33"/>
    <w:rsid w:val="000852A1"/>
    <w:rsid w:val="00085FF3"/>
    <w:rsid w:val="00086F57"/>
    <w:rsid w:val="000907C6"/>
    <w:rsid w:val="00090A18"/>
    <w:rsid w:val="000911A4"/>
    <w:rsid w:val="00093A86"/>
    <w:rsid w:val="000945F2"/>
    <w:rsid w:val="000950D4"/>
    <w:rsid w:val="0009521C"/>
    <w:rsid w:val="000959F4"/>
    <w:rsid w:val="00095B9F"/>
    <w:rsid w:val="00095DE6"/>
    <w:rsid w:val="00096652"/>
    <w:rsid w:val="0009684F"/>
    <w:rsid w:val="00096B0B"/>
    <w:rsid w:val="000972E6"/>
    <w:rsid w:val="00097740"/>
    <w:rsid w:val="00097D6A"/>
    <w:rsid w:val="000A0D71"/>
    <w:rsid w:val="000A1386"/>
    <w:rsid w:val="000A179E"/>
    <w:rsid w:val="000A2BA9"/>
    <w:rsid w:val="000A3151"/>
    <w:rsid w:val="000A3F9C"/>
    <w:rsid w:val="000A40A4"/>
    <w:rsid w:val="000A57AA"/>
    <w:rsid w:val="000B0D3C"/>
    <w:rsid w:val="000B29D7"/>
    <w:rsid w:val="000B2C76"/>
    <w:rsid w:val="000B3620"/>
    <w:rsid w:val="000B5EDB"/>
    <w:rsid w:val="000B7351"/>
    <w:rsid w:val="000C29D1"/>
    <w:rsid w:val="000C29D5"/>
    <w:rsid w:val="000C2C4B"/>
    <w:rsid w:val="000C450F"/>
    <w:rsid w:val="000C4C48"/>
    <w:rsid w:val="000C4D3C"/>
    <w:rsid w:val="000C4E36"/>
    <w:rsid w:val="000C52A4"/>
    <w:rsid w:val="000C573C"/>
    <w:rsid w:val="000C6F7C"/>
    <w:rsid w:val="000C7734"/>
    <w:rsid w:val="000D21B9"/>
    <w:rsid w:val="000D2835"/>
    <w:rsid w:val="000D3412"/>
    <w:rsid w:val="000D6634"/>
    <w:rsid w:val="000D79BA"/>
    <w:rsid w:val="000E01AB"/>
    <w:rsid w:val="000E2683"/>
    <w:rsid w:val="000E2773"/>
    <w:rsid w:val="000E3EB2"/>
    <w:rsid w:val="000E49F0"/>
    <w:rsid w:val="000E6126"/>
    <w:rsid w:val="000F0878"/>
    <w:rsid w:val="000F2B38"/>
    <w:rsid w:val="000F5E59"/>
    <w:rsid w:val="000F65BF"/>
    <w:rsid w:val="000F6DDB"/>
    <w:rsid w:val="000F7171"/>
    <w:rsid w:val="000F7441"/>
    <w:rsid w:val="0010032F"/>
    <w:rsid w:val="00100406"/>
    <w:rsid w:val="00107406"/>
    <w:rsid w:val="00107A82"/>
    <w:rsid w:val="00107A8A"/>
    <w:rsid w:val="00110AC1"/>
    <w:rsid w:val="0011107D"/>
    <w:rsid w:val="00111646"/>
    <w:rsid w:val="00111788"/>
    <w:rsid w:val="00113CE0"/>
    <w:rsid w:val="00113D72"/>
    <w:rsid w:val="00113D9D"/>
    <w:rsid w:val="00115E87"/>
    <w:rsid w:val="00115FFF"/>
    <w:rsid w:val="0011609A"/>
    <w:rsid w:val="001162CB"/>
    <w:rsid w:val="00116427"/>
    <w:rsid w:val="00117E76"/>
    <w:rsid w:val="00117EC6"/>
    <w:rsid w:val="00120A57"/>
    <w:rsid w:val="001211F4"/>
    <w:rsid w:val="00123DFC"/>
    <w:rsid w:val="0012659C"/>
    <w:rsid w:val="00126C6E"/>
    <w:rsid w:val="00127DCE"/>
    <w:rsid w:val="00130350"/>
    <w:rsid w:val="00130EDC"/>
    <w:rsid w:val="001322A5"/>
    <w:rsid w:val="00132B9A"/>
    <w:rsid w:val="00134355"/>
    <w:rsid w:val="001348C4"/>
    <w:rsid w:val="00134DFB"/>
    <w:rsid w:val="00134FCF"/>
    <w:rsid w:val="001368AE"/>
    <w:rsid w:val="00137272"/>
    <w:rsid w:val="001377D6"/>
    <w:rsid w:val="00141A3A"/>
    <w:rsid w:val="001447DF"/>
    <w:rsid w:val="00144CCD"/>
    <w:rsid w:val="00145905"/>
    <w:rsid w:val="001461A5"/>
    <w:rsid w:val="00147043"/>
    <w:rsid w:val="0014739A"/>
    <w:rsid w:val="00147500"/>
    <w:rsid w:val="001519B6"/>
    <w:rsid w:val="001530F7"/>
    <w:rsid w:val="00153548"/>
    <w:rsid w:val="00153F37"/>
    <w:rsid w:val="0015490C"/>
    <w:rsid w:val="00154AAE"/>
    <w:rsid w:val="001573E2"/>
    <w:rsid w:val="001579FA"/>
    <w:rsid w:val="0016048B"/>
    <w:rsid w:val="0016073E"/>
    <w:rsid w:val="00161852"/>
    <w:rsid w:val="0016278D"/>
    <w:rsid w:val="00163A56"/>
    <w:rsid w:val="00167130"/>
    <w:rsid w:val="00167FF6"/>
    <w:rsid w:val="001702F3"/>
    <w:rsid w:val="0017038C"/>
    <w:rsid w:val="00171589"/>
    <w:rsid w:val="001728F2"/>
    <w:rsid w:val="00172C10"/>
    <w:rsid w:val="00172F98"/>
    <w:rsid w:val="00173819"/>
    <w:rsid w:val="00174693"/>
    <w:rsid w:val="00175A9B"/>
    <w:rsid w:val="0017610A"/>
    <w:rsid w:val="001764A2"/>
    <w:rsid w:val="001772F7"/>
    <w:rsid w:val="00177727"/>
    <w:rsid w:val="0018230C"/>
    <w:rsid w:val="00182558"/>
    <w:rsid w:val="001834CA"/>
    <w:rsid w:val="00183B53"/>
    <w:rsid w:val="0018476D"/>
    <w:rsid w:val="00184DA5"/>
    <w:rsid w:val="00185A20"/>
    <w:rsid w:val="00185AF6"/>
    <w:rsid w:val="00187E38"/>
    <w:rsid w:val="001913F7"/>
    <w:rsid w:val="00192D7A"/>
    <w:rsid w:val="001937AD"/>
    <w:rsid w:val="001938EC"/>
    <w:rsid w:val="00193A93"/>
    <w:rsid w:val="00193BE3"/>
    <w:rsid w:val="00193F89"/>
    <w:rsid w:val="00194BB9"/>
    <w:rsid w:val="00195039"/>
    <w:rsid w:val="0019521C"/>
    <w:rsid w:val="00196546"/>
    <w:rsid w:val="001966EA"/>
    <w:rsid w:val="001972E9"/>
    <w:rsid w:val="001A08BE"/>
    <w:rsid w:val="001A2CB2"/>
    <w:rsid w:val="001A2F3F"/>
    <w:rsid w:val="001A5963"/>
    <w:rsid w:val="001A6122"/>
    <w:rsid w:val="001A6606"/>
    <w:rsid w:val="001A7A29"/>
    <w:rsid w:val="001B00DF"/>
    <w:rsid w:val="001B26A6"/>
    <w:rsid w:val="001B3842"/>
    <w:rsid w:val="001B3CE1"/>
    <w:rsid w:val="001B45DD"/>
    <w:rsid w:val="001B4614"/>
    <w:rsid w:val="001B52E8"/>
    <w:rsid w:val="001B57A8"/>
    <w:rsid w:val="001B683E"/>
    <w:rsid w:val="001B6AEC"/>
    <w:rsid w:val="001C0C09"/>
    <w:rsid w:val="001C1494"/>
    <w:rsid w:val="001C1D16"/>
    <w:rsid w:val="001C2859"/>
    <w:rsid w:val="001C36A4"/>
    <w:rsid w:val="001C687C"/>
    <w:rsid w:val="001D1222"/>
    <w:rsid w:val="001D1C29"/>
    <w:rsid w:val="001D2F04"/>
    <w:rsid w:val="001D3618"/>
    <w:rsid w:val="001D41A6"/>
    <w:rsid w:val="001D70A1"/>
    <w:rsid w:val="001E0220"/>
    <w:rsid w:val="001E0F55"/>
    <w:rsid w:val="001E21DC"/>
    <w:rsid w:val="001E3487"/>
    <w:rsid w:val="001E6614"/>
    <w:rsid w:val="001E6F4C"/>
    <w:rsid w:val="001E7205"/>
    <w:rsid w:val="001F015D"/>
    <w:rsid w:val="001F0776"/>
    <w:rsid w:val="001F093E"/>
    <w:rsid w:val="001F0A8F"/>
    <w:rsid w:val="001F0EDE"/>
    <w:rsid w:val="001F16AA"/>
    <w:rsid w:val="001F1FB6"/>
    <w:rsid w:val="001F2FBA"/>
    <w:rsid w:val="001F3442"/>
    <w:rsid w:val="001F3617"/>
    <w:rsid w:val="001F377D"/>
    <w:rsid w:val="001F5E7A"/>
    <w:rsid w:val="001F7C11"/>
    <w:rsid w:val="00201CB9"/>
    <w:rsid w:val="00203355"/>
    <w:rsid w:val="00203BF8"/>
    <w:rsid w:val="00204AEB"/>
    <w:rsid w:val="00204CD6"/>
    <w:rsid w:val="00204E77"/>
    <w:rsid w:val="00205579"/>
    <w:rsid w:val="00206277"/>
    <w:rsid w:val="002078C0"/>
    <w:rsid w:val="00207A86"/>
    <w:rsid w:val="00207E25"/>
    <w:rsid w:val="002104B1"/>
    <w:rsid w:val="00210690"/>
    <w:rsid w:val="00210E74"/>
    <w:rsid w:val="00211005"/>
    <w:rsid w:val="0021271E"/>
    <w:rsid w:val="00213125"/>
    <w:rsid w:val="0021371C"/>
    <w:rsid w:val="002140CA"/>
    <w:rsid w:val="002168AA"/>
    <w:rsid w:val="002169A6"/>
    <w:rsid w:val="00216D08"/>
    <w:rsid w:val="002176E3"/>
    <w:rsid w:val="00217D41"/>
    <w:rsid w:val="00220E05"/>
    <w:rsid w:val="00222CA6"/>
    <w:rsid w:val="002233DB"/>
    <w:rsid w:val="002245BB"/>
    <w:rsid w:val="0022556F"/>
    <w:rsid w:val="00226C6E"/>
    <w:rsid w:val="00231491"/>
    <w:rsid w:val="002318D4"/>
    <w:rsid w:val="00232642"/>
    <w:rsid w:val="0023376D"/>
    <w:rsid w:val="00237697"/>
    <w:rsid w:val="00240FE8"/>
    <w:rsid w:val="00241CBF"/>
    <w:rsid w:val="00242877"/>
    <w:rsid w:val="002437EA"/>
    <w:rsid w:val="00243F5F"/>
    <w:rsid w:val="0024516A"/>
    <w:rsid w:val="002470BE"/>
    <w:rsid w:val="00250EDB"/>
    <w:rsid w:val="00250F43"/>
    <w:rsid w:val="002515F4"/>
    <w:rsid w:val="00251BFF"/>
    <w:rsid w:val="00251DD8"/>
    <w:rsid w:val="00252697"/>
    <w:rsid w:val="002526A4"/>
    <w:rsid w:val="0025321B"/>
    <w:rsid w:val="0025552A"/>
    <w:rsid w:val="00256E10"/>
    <w:rsid w:val="00256FD1"/>
    <w:rsid w:val="002570AA"/>
    <w:rsid w:val="00260413"/>
    <w:rsid w:val="00260EBC"/>
    <w:rsid w:val="002624C4"/>
    <w:rsid w:val="00264710"/>
    <w:rsid w:val="00266BF6"/>
    <w:rsid w:val="0026719B"/>
    <w:rsid w:val="00267567"/>
    <w:rsid w:val="0027056D"/>
    <w:rsid w:val="00270B0A"/>
    <w:rsid w:val="00271ABB"/>
    <w:rsid w:val="00273788"/>
    <w:rsid w:val="002740FA"/>
    <w:rsid w:val="0027421A"/>
    <w:rsid w:val="0027696B"/>
    <w:rsid w:val="00277926"/>
    <w:rsid w:val="002809FE"/>
    <w:rsid w:val="002812C7"/>
    <w:rsid w:val="00281FBE"/>
    <w:rsid w:val="00282757"/>
    <w:rsid w:val="00282E17"/>
    <w:rsid w:val="00282E92"/>
    <w:rsid w:val="002841E8"/>
    <w:rsid w:val="00285D6D"/>
    <w:rsid w:val="00285F18"/>
    <w:rsid w:val="002864B5"/>
    <w:rsid w:val="00290224"/>
    <w:rsid w:val="00290D2E"/>
    <w:rsid w:val="00291B4A"/>
    <w:rsid w:val="00291BA9"/>
    <w:rsid w:val="0029253C"/>
    <w:rsid w:val="00292715"/>
    <w:rsid w:val="002A002E"/>
    <w:rsid w:val="002A3096"/>
    <w:rsid w:val="002A344E"/>
    <w:rsid w:val="002A4EB2"/>
    <w:rsid w:val="002A591C"/>
    <w:rsid w:val="002A6EB0"/>
    <w:rsid w:val="002A7B00"/>
    <w:rsid w:val="002B1D0F"/>
    <w:rsid w:val="002B3270"/>
    <w:rsid w:val="002B5509"/>
    <w:rsid w:val="002B5CA4"/>
    <w:rsid w:val="002B6DE6"/>
    <w:rsid w:val="002B7761"/>
    <w:rsid w:val="002B7858"/>
    <w:rsid w:val="002B7AE0"/>
    <w:rsid w:val="002C10E1"/>
    <w:rsid w:val="002C123A"/>
    <w:rsid w:val="002C15EB"/>
    <w:rsid w:val="002C1660"/>
    <w:rsid w:val="002C2AB7"/>
    <w:rsid w:val="002C2D32"/>
    <w:rsid w:val="002C2E1A"/>
    <w:rsid w:val="002C35A2"/>
    <w:rsid w:val="002C388E"/>
    <w:rsid w:val="002C4CEB"/>
    <w:rsid w:val="002C5345"/>
    <w:rsid w:val="002C53F6"/>
    <w:rsid w:val="002C6A16"/>
    <w:rsid w:val="002C76D7"/>
    <w:rsid w:val="002C7A43"/>
    <w:rsid w:val="002D13CD"/>
    <w:rsid w:val="002D2629"/>
    <w:rsid w:val="002D3725"/>
    <w:rsid w:val="002D4052"/>
    <w:rsid w:val="002D41F4"/>
    <w:rsid w:val="002D524B"/>
    <w:rsid w:val="002D56B7"/>
    <w:rsid w:val="002D59C4"/>
    <w:rsid w:val="002D78AD"/>
    <w:rsid w:val="002E02E8"/>
    <w:rsid w:val="002E0BAD"/>
    <w:rsid w:val="002E0DCC"/>
    <w:rsid w:val="002E3F45"/>
    <w:rsid w:val="002E464B"/>
    <w:rsid w:val="002E60F8"/>
    <w:rsid w:val="002E691A"/>
    <w:rsid w:val="002E6E96"/>
    <w:rsid w:val="002F024D"/>
    <w:rsid w:val="002F07E8"/>
    <w:rsid w:val="002F1C3C"/>
    <w:rsid w:val="002F3AAF"/>
    <w:rsid w:val="002F439E"/>
    <w:rsid w:val="002F4A14"/>
    <w:rsid w:val="002F5F82"/>
    <w:rsid w:val="0030226E"/>
    <w:rsid w:val="00302607"/>
    <w:rsid w:val="00302830"/>
    <w:rsid w:val="003037A8"/>
    <w:rsid w:val="003042B3"/>
    <w:rsid w:val="003043BF"/>
    <w:rsid w:val="00304612"/>
    <w:rsid w:val="00305725"/>
    <w:rsid w:val="00305C2D"/>
    <w:rsid w:val="00306DFF"/>
    <w:rsid w:val="00310882"/>
    <w:rsid w:val="00311CF5"/>
    <w:rsid w:val="00312650"/>
    <w:rsid w:val="00314D92"/>
    <w:rsid w:val="003154D0"/>
    <w:rsid w:val="00320073"/>
    <w:rsid w:val="00320A2E"/>
    <w:rsid w:val="00321819"/>
    <w:rsid w:val="003226B7"/>
    <w:rsid w:val="00322DF8"/>
    <w:rsid w:val="003237C0"/>
    <w:rsid w:val="0032424A"/>
    <w:rsid w:val="00324C5C"/>
    <w:rsid w:val="00324F55"/>
    <w:rsid w:val="00325A98"/>
    <w:rsid w:val="003262DF"/>
    <w:rsid w:val="00326BCE"/>
    <w:rsid w:val="003270D2"/>
    <w:rsid w:val="003276E3"/>
    <w:rsid w:val="0033009C"/>
    <w:rsid w:val="00330627"/>
    <w:rsid w:val="003307D5"/>
    <w:rsid w:val="003309C0"/>
    <w:rsid w:val="0033444C"/>
    <w:rsid w:val="00334EB5"/>
    <w:rsid w:val="00336385"/>
    <w:rsid w:val="00337195"/>
    <w:rsid w:val="003400FD"/>
    <w:rsid w:val="003412A1"/>
    <w:rsid w:val="00342AC6"/>
    <w:rsid w:val="003436A4"/>
    <w:rsid w:val="0034490D"/>
    <w:rsid w:val="00345DB1"/>
    <w:rsid w:val="00352779"/>
    <w:rsid w:val="00352D54"/>
    <w:rsid w:val="00353749"/>
    <w:rsid w:val="00353CC8"/>
    <w:rsid w:val="00353D53"/>
    <w:rsid w:val="00353D69"/>
    <w:rsid w:val="0035543C"/>
    <w:rsid w:val="0035575C"/>
    <w:rsid w:val="003608D4"/>
    <w:rsid w:val="00360B73"/>
    <w:rsid w:val="0036224A"/>
    <w:rsid w:val="0036288F"/>
    <w:rsid w:val="003634CB"/>
    <w:rsid w:val="003634D3"/>
    <w:rsid w:val="00364C39"/>
    <w:rsid w:val="00365B10"/>
    <w:rsid w:val="003662F1"/>
    <w:rsid w:val="0036782F"/>
    <w:rsid w:val="00367BA7"/>
    <w:rsid w:val="0037051D"/>
    <w:rsid w:val="003709E5"/>
    <w:rsid w:val="00371D3F"/>
    <w:rsid w:val="003720A5"/>
    <w:rsid w:val="00372552"/>
    <w:rsid w:val="00372720"/>
    <w:rsid w:val="00373C93"/>
    <w:rsid w:val="00374450"/>
    <w:rsid w:val="003761C0"/>
    <w:rsid w:val="0037676D"/>
    <w:rsid w:val="00377972"/>
    <w:rsid w:val="003812B2"/>
    <w:rsid w:val="00382C1D"/>
    <w:rsid w:val="00383CDB"/>
    <w:rsid w:val="00384F08"/>
    <w:rsid w:val="00386698"/>
    <w:rsid w:val="003879F9"/>
    <w:rsid w:val="003914C2"/>
    <w:rsid w:val="00393941"/>
    <w:rsid w:val="00393E34"/>
    <w:rsid w:val="003950E5"/>
    <w:rsid w:val="00395299"/>
    <w:rsid w:val="003959F5"/>
    <w:rsid w:val="00397D15"/>
    <w:rsid w:val="003A035E"/>
    <w:rsid w:val="003A0D90"/>
    <w:rsid w:val="003A1400"/>
    <w:rsid w:val="003A2122"/>
    <w:rsid w:val="003A2941"/>
    <w:rsid w:val="003A523C"/>
    <w:rsid w:val="003A6F00"/>
    <w:rsid w:val="003A7AE3"/>
    <w:rsid w:val="003B0285"/>
    <w:rsid w:val="003B0864"/>
    <w:rsid w:val="003B09CF"/>
    <w:rsid w:val="003B3DE2"/>
    <w:rsid w:val="003B4659"/>
    <w:rsid w:val="003B4710"/>
    <w:rsid w:val="003B4993"/>
    <w:rsid w:val="003B59E0"/>
    <w:rsid w:val="003B5BE8"/>
    <w:rsid w:val="003B6616"/>
    <w:rsid w:val="003B6617"/>
    <w:rsid w:val="003B6688"/>
    <w:rsid w:val="003B6C63"/>
    <w:rsid w:val="003B7382"/>
    <w:rsid w:val="003B753B"/>
    <w:rsid w:val="003C20B3"/>
    <w:rsid w:val="003C283B"/>
    <w:rsid w:val="003C59B3"/>
    <w:rsid w:val="003C60FC"/>
    <w:rsid w:val="003C686A"/>
    <w:rsid w:val="003C7BFA"/>
    <w:rsid w:val="003C7F77"/>
    <w:rsid w:val="003D0830"/>
    <w:rsid w:val="003D1B8C"/>
    <w:rsid w:val="003D1FD2"/>
    <w:rsid w:val="003D2315"/>
    <w:rsid w:val="003D31B5"/>
    <w:rsid w:val="003D6037"/>
    <w:rsid w:val="003D6939"/>
    <w:rsid w:val="003D7D22"/>
    <w:rsid w:val="003E0BAB"/>
    <w:rsid w:val="003E13CF"/>
    <w:rsid w:val="003E2748"/>
    <w:rsid w:val="003E5362"/>
    <w:rsid w:val="003E7D42"/>
    <w:rsid w:val="003F0AAF"/>
    <w:rsid w:val="003F0B78"/>
    <w:rsid w:val="003F0E81"/>
    <w:rsid w:val="003F3D4E"/>
    <w:rsid w:val="003F404F"/>
    <w:rsid w:val="003F405C"/>
    <w:rsid w:val="003F40B1"/>
    <w:rsid w:val="003F46F3"/>
    <w:rsid w:val="003F4828"/>
    <w:rsid w:val="003F4CC9"/>
    <w:rsid w:val="003F4E74"/>
    <w:rsid w:val="003F52A6"/>
    <w:rsid w:val="003F5344"/>
    <w:rsid w:val="003F79EB"/>
    <w:rsid w:val="003F7EDC"/>
    <w:rsid w:val="00400F2C"/>
    <w:rsid w:val="00401CF7"/>
    <w:rsid w:val="004024AF"/>
    <w:rsid w:val="004027F2"/>
    <w:rsid w:val="00402AD7"/>
    <w:rsid w:val="00403377"/>
    <w:rsid w:val="004035AE"/>
    <w:rsid w:val="00404548"/>
    <w:rsid w:val="0040506D"/>
    <w:rsid w:val="004051A4"/>
    <w:rsid w:val="00405374"/>
    <w:rsid w:val="00407D9E"/>
    <w:rsid w:val="0041079B"/>
    <w:rsid w:val="00410C37"/>
    <w:rsid w:val="0041162E"/>
    <w:rsid w:val="00414392"/>
    <w:rsid w:val="00414B9B"/>
    <w:rsid w:val="00414FF1"/>
    <w:rsid w:val="004163E5"/>
    <w:rsid w:val="00417CE0"/>
    <w:rsid w:val="00420F28"/>
    <w:rsid w:val="00423157"/>
    <w:rsid w:val="00423767"/>
    <w:rsid w:val="00424031"/>
    <w:rsid w:val="00424534"/>
    <w:rsid w:val="0042485E"/>
    <w:rsid w:val="004254EF"/>
    <w:rsid w:val="00425EDB"/>
    <w:rsid w:val="0042673A"/>
    <w:rsid w:val="00426B8D"/>
    <w:rsid w:val="00426F13"/>
    <w:rsid w:val="0042786D"/>
    <w:rsid w:val="00430293"/>
    <w:rsid w:val="00430DCB"/>
    <w:rsid w:val="0043174C"/>
    <w:rsid w:val="004322E3"/>
    <w:rsid w:val="00432CB3"/>
    <w:rsid w:val="004330CA"/>
    <w:rsid w:val="00433C62"/>
    <w:rsid w:val="00434D01"/>
    <w:rsid w:val="0043541E"/>
    <w:rsid w:val="004357BB"/>
    <w:rsid w:val="00437342"/>
    <w:rsid w:val="00437975"/>
    <w:rsid w:val="00437E75"/>
    <w:rsid w:val="00441901"/>
    <w:rsid w:val="00443968"/>
    <w:rsid w:val="0044480F"/>
    <w:rsid w:val="00445254"/>
    <w:rsid w:val="00446008"/>
    <w:rsid w:val="00447BD9"/>
    <w:rsid w:val="00450BCB"/>
    <w:rsid w:val="004516AE"/>
    <w:rsid w:val="00452C44"/>
    <w:rsid w:val="0045348A"/>
    <w:rsid w:val="0045383B"/>
    <w:rsid w:val="004555F2"/>
    <w:rsid w:val="00456702"/>
    <w:rsid w:val="0046121C"/>
    <w:rsid w:val="004612D8"/>
    <w:rsid w:val="00461E15"/>
    <w:rsid w:val="0046243C"/>
    <w:rsid w:val="004629D3"/>
    <w:rsid w:val="0046461B"/>
    <w:rsid w:val="00464E29"/>
    <w:rsid w:val="004665F6"/>
    <w:rsid w:val="00467FFE"/>
    <w:rsid w:val="00470064"/>
    <w:rsid w:val="0047030F"/>
    <w:rsid w:val="0047082D"/>
    <w:rsid w:val="00471992"/>
    <w:rsid w:val="004719FC"/>
    <w:rsid w:val="00472EF5"/>
    <w:rsid w:val="00473382"/>
    <w:rsid w:val="0047360D"/>
    <w:rsid w:val="0047495E"/>
    <w:rsid w:val="00474C6F"/>
    <w:rsid w:val="0047544B"/>
    <w:rsid w:val="004754D4"/>
    <w:rsid w:val="00475DB2"/>
    <w:rsid w:val="00477422"/>
    <w:rsid w:val="00477804"/>
    <w:rsid w:val="00480B8D"/>
    <w:rsid w:val="00480FE2"/>
    <w:rsid w:val="00482CA6"/>
    <w:rsid w:val="004831CC"/>
    <w:rsid w:val="004837F2"/>
    <w:rsid w:val="00483A61"/>
    <w:rsid w:val="00483EEA"/>
    <w:rsid w:val="00484BC7"/>
    <w:rsid w:val="00484EC3"/>
    <w:rsid w:val="004860D2"/>
    <w:rsid w:val="0048687C"/>
    <w:rsid w:val="00486AC3"/>
    <w:rsid w:val="0048726E"/>
    <w:rsid w:val="00490126"/>
    <w:rsid w:val="00490593"/>
    <w:rsid w:val="00490939"/>
    <w:rsid w:val="00492487"/>
    <w:rsid w:val="00493FAB"/>
    <w:rsid w:val="00494521"/>
    <w:rsid w:val="004949CA"/>
    <w:rsid w:val="00497AC8"/>
    <w:rsid w:val="004A152C"/>
    <w:rsid w:val="004A221B"/>
    <w:rsid w:val="004A31B4"/>
    <w:rsid w:val="004A36A2"/>
    <w:rsid w:val="004A440B"/>
    <w:rsid w:val="004A49D5"/>
    <w:rsid w:val="004A516C"/>
    <w:rsid w:val="004A5F0D"/>
    <w:rsid w:val="004A643E"/>
    <w:rsid w:val="004A7D3C"/>
    <w:rsid w:val="004B0883"/>
    <w:rsid w:val="004B1D18"/>
    <w:rsid w:val="004B4B23"/>
    <w:rsid w:val="004B505E"/>
    <w:rsid w:val="004B605D"/>
    <w:rsid w:val="004B6A7D"/>
    <w:rsid w:val="004C02EE"/>
    <w:rsid w:val="004C07B1"/>
    <w:rsid w:val="004C0DD3"/>
    <w:rsid w:val="004C1922"/>
    <w:rsid w:val="004C278D"/>
    <w:rsid w:val="004C4105"/>
    <w:rsid w:val="004C42A5"/>
    <w:rsid w:val="004C450E"/>
    <w:rsid w:val="004C462F"/>
    <w:rsid w:val="004C638A"/>
    <w:rsid w:val="004C765A"/>
    <w:rsid w:val="004C77DE"/>
    <w:rsid w:val="004D0050"/>
    <w:rsid w:val="004D1213"/>
    <w:rsid w:val="004D2907"/>
    <w:rsid w:val="004D3FCC"/>
    <w:rsid w:val="004D46AA"/>
    <w:rsid w:val="004D49E9"/>
    <w:rsid w:val="004D5416"/>
    <w:rsid w:val="004D5E4E"/>
    <w:rsid w:val="004D5F4D"/>
    <w:rsid w:val="004D6083"/>
    <w:rsid w:val="004D66AE"/>
    <w:rsid w:val="004D7BD4"/>
    <w:rsid w:val="004E0142"/>
    <w:rsid w:val="004E0B42"/>
    <w:rsid w:val="004E1131"/>
    <w:rsid w:val="004E11D7"/>
    <w:rsid w:val="004E46A1"/>
    <w:rsid w:val="004E50DB"/>
    <w:rsid w:val="004E50E9"/>
    <w:rsid w:val="004E7D89"/>
    <w:rsid w:val="004F0BAA"/>
    <w:rsid w:val="004F14D9"/>
    <w:rsid w:val="004F1C9D"/>
    <w:rsid w:val="004F3BF1"/>
    <w:rsid w:val="004F3C15"/>
    <w:rsid w:val="004F779B"/>
    <w:rsid w:val="004F7EF1"/>
    <w:rsid w:val="0050229E"/>
    <w:rsid w:val="00502524"/>
    <w:rsid w:val="00502876"/>
    <w:rsid w:val="00502E91"/>
    <w:rsid w:val="00504EFB"/>
    <w:rsid w:val="00505449"/>
    <w:rsid w:val="00505EED"/>
    <w:rsid w:val="0050616C"/>
    <w:rsid w:val="00506CD7"/>
    <w:rsid w:val="005071DA"/>
    <w:rsid w:val="00512C02"/>
    <w:rsid w:val="00513147"/>
    <w:rsid w:val="00513D98"/>
    <w:rsid w:val="005150A9"/>
    <w:rsid w:val="005165EF"/>
    <w:rsid w:val="005207D4"/>
    <w:rsid w:val="00520D62"/>
    <w:rsid w:val="00521674"/>
    <w:rsid w:val="00521E69"/>
    <w:rsid w:val="00522A14"/>
    <w:rsid w:val="00523D82"/>
    <w:rsid w:val="00524A33"/>
    <w:rsid w:val="00525AE7"/>
    <w:rsid w:val="0052647F"/>
    <w:rsid w:val="00526D3F"/>
    <w:rsid w:val="00527610"/>
    <w:rsid w:val="00527C7E"/>
    <w:rsid w:val="00530D1B"/>
    <w:rsid w:val="0053134B"/>
    <w:rsid w:val="005314C9"/>
    <w:rsid w:val="005333B6"/>
    <w:rsid w:val="00535CB3"/>
    <w:rsid w:val="00536096"/>
    <w:rsid w:val="0053677C"/>
    <w:rsid w:val="00541A00"/>
    <w:rsid w:val="00541B30"/>
    <w:rsid w:val="00543D84"/>
    <w:rsid w:val="005444B2"/>
    <w:rsid w:val="0054473C"/>
    <w:rsid w:val="00544C01"/>
    <w:rsid w:val="00546816"/>
    <w:rsid w:val="00547831"/>
    <w:rsid w:val="00550776"/>
    <w:rsid w:val="00552F8B"/>
    <w:rsid w:val="005531C9"/>
    <w:rsid w:val="005535AF"/>
    <w:rsid w:val="00554D07"/>
    <w:rsid w:val="0055574F"/>
    <w:rsid w:val="00555E60"/>
    <w:rsid w:val="00556678"/>
    <w:rsid w:val="00557908"/>
    <w:rsid w:val="00557AA8"/>
    <w:rsid w:val="005602B7"/>
    <w:rsid w:val="00560B11"/>
    <w:rsid w:val="00561FE7"/>
    <w:rsid w:val="005628F1"/>
    <w:rsid w:val="00562B66"/>
    <w:rsid w:val="00562DE8"/>
    <w:rsid w:val="00563418"/>
    <w:rsid w:val="00563496"/>
    <w:rsid w:val="005635DE"/>
    <w:rsid w:val="00563CFE"/>
    <w:rsid w:val="00564039"/>
    <w:rsid w:val="005670B4"/>
    <w:rsid w:val="00571510"/>
    <w:rsid w:val="005716ED"/>
    <w:rsid w:val="005718A5"/>
    <w:rsid w:val="00571A72"/>
    <w:rsid w:val="005728CD"/>
    <w:rsid w:val="005739A1"/>
    <w:rsid w:val="00575348"/>
    <w:rsid w:val="005779DE"/>
    <w:rsid w:val="00580E84"/>
    <w:rsid w:val="00581DD6"/>
    <w:rsid w:val="00582CC0"/>
    <w:rsid w:val="00582E84"/>
    <w:rsid w:val="00583402"/>
    <w:rsid w:val="00584427"/>
    <w:rsid w:val="005869C5"/>
    <w:rsid w:val="005874B4"/>
    <w:rsid w:val="00587E19"/>
    <w:rsid w:val="00590CDA"/>
    <w:rsid w:val="005953D7"/>
    <w:rsid w:val="005959E6"/>
    <w:rsid w:val="0059601E"/>
    <w:rsid w:val="0059736B"/>
    <w:rsid w:val="00597532"/>
    <w:rsid w:val="005A054E"/>
    <w:rsid w:val="005A2132"/>
    <w:rsid w:val="005A223F"/>
    <w:rsid w:val="005A2366"/>
    <w:rsid w:val="005A279C"/>
    <w:rsid w:val="005A3C81"/>
    <w:rsid w:val="005A3F7D"/>
    <w:rsid w:val="005A54A9"/>
    <w:rsid w:val="005A5680"/>
    <w:rsid w:val="005A5A01"/>
    <w:rsid w:val="005A5B91"/>
    <w:rsid w:val="005A6639"/>
    <w:rsid w:val="005A6914"/>
    <w:rsid w:val="005A7802"/>
    <w:rsid w:val="005A7B6E"/>
    <w:rsid w:val="005B1732"/>
    <w:rsid w:val="005B1D8D"/>
    <w:rsid w:val="005B249A"/>
    <w:rsid w:val="005B3437"/>
    <w:rsid w:val="005B3868"/>
    <w:rsid w:val="005B3ECD"/>
    <w:rsid w:val="005B3FFE"/>
    <w:rsid w:val="005B42FD"/>
    <w:rsid w:val="005B4AB3"/>
    <w:rsid w:val="005B50BA"/>
    <w:rsid w:val="005B5FB4"/>
    <w:rsid w:val="005C0348"/>
    <w:rsid w:val="005C0A83"/>
    <w:rsid w:val="005C0CD5"/>
    <w:rsid w:val="005C1519"/>
    <w:rsid w:val="005C1C4E"/>
    <w:rsid w:val="005C2ED7"/>
    <w:rsid w:val="005C365A"/>
    <w:rsid w:val="005C48B4"/>
    <w:rsid w:val="005C4A16"/>
    <w:rsid w:val="005C4B12"/>
    <w:rsid w:val="005C5283"/>
    <w:rsid w:val="005C66F6"/>
    <w:rsid w:val="005C6F20"/>
    <w:rsid w:val="005D080E"/>
    <w:rsid w:val="005D2BC6"/>
    <w:rsid w:val="005D2CA4"/>
    <w:rsid w:val="005D534A"/>
    <w:rsid w:val="005D68C6"/>
    <w:rsid w:val="005D7D31"/>
    <w:rsid w:val="005D7EE3"/>
    <w:rsid w:val="005E0410"/>
    <w:rsid w:val="005E08DA"/>
    <w:rsid w:val="005E3DAA"/>
    <w:rsid w:val="005E50DE"/>
    <w:rsid w:val="005E5F97"/>
    <w:rsid w:val="005E6160"/>
    <w:rsid w:val="005E6336"/>
    <w:rsid w:val="005F05C3"/>
    <w:rsid w:val="005F0A70"/>
    <w:rsid w:val="005F333D"/>
    <w:rsid w:val="005F499E"/>
    <w:rsid w:val="005F4E05"/>
    <w:rsid w:val="005F55A7"/>
    <w:rsid w:val="005F5754"/>
    <w:rsid w:val="005F6212"/>
    <w:rsid w:val="005F658C"/>
    <w:rsid w:val="005F7097"/>
    <w:rsid w:val="005F7B2A"/>
    <w:rsid w:val="00600600"/>
    <w:rsid w:val="0060079B"/>
    <w:rsid w:val="0060364A"/>
    <w:rsid w:val="006038E4"/>
    <w:rsid w:val="006045BC"/>
    <w:rsid w:val="0060488F"/>
    <w:rsid w:val="0060571A"/>
    <w:rsid w:val="00607266"/>
    <w:rsid w:val="006129A8"/>
    <w:rsid w:val="00613633"/>
    <w:rsid w:val="00613D39"/>
    <w:rsid w:val="00614EDD"/>
    <w:rsid w:val="00614F5D"/>
    <w:rsid w:val="006153F4"/>
    <w:rsid w:val="006163C9"/>
    <w:rsid w:val="0061650D"/>
    <w:rsid w:val="00617843"/>
    <w:rsid w:val="00620F34"/>
    <w:rsid w:val="0062103D"/>
    <w:rsid w:val="00622F1A"/>
    <w:rsid w:val="00624C1B"/>
    <w:rsid w:val="00625471"/>
    <w:rsid w:val="0062613D"/>
    <w:rsid w:val="00626DB4"/>
    <w:rsid w:val="00627853"/>
    <w:rsid w:val="00627C32"/>
    <w:rsid w:val="006302CC"/>
    <w:rsid w:val="00631FEB"/>
    <w:rsid w:val="006327CA"/>
    <w:rsid w:val="00633388"/>
    <w:rsid w:val="00634D0C"/>
    <w:rsid w:val="006352E4"/>
    <w:rsid w:val="006354D8"/>
    <w:rsid w:val="00635899"/>
    <w:rsid w:val="006364D8"/>
    <w:rsid w:val="00636BEE"/>
    <w:rsid w:val="00637B09"/>
    <w:rsid w:val="00641329"/>
    <w:rsid w:val="006421C8"/>
    <w:rsid w:val="00643172"/>
    <w:rsid w:val="00645AAE"/>
    <w:rsid w:val="00646CF7"/>
    <w:rsid w:val="00650E43"/>
    <w:rsid w:val="00650F47"/>
    <w:rsid w:val="00652BCE"/>
    <w:rsid w:val="00652E29"/>
    <w:rsid w:val="00652F29"/>
    <w:rsid w:val="00653617"/>
    <w:rsid w:val="00653F1A"/>
    <w:rsid w:val="00653F94"/>
    <w:rsid w:val="00656056"/>
    <w:rsid w:val="00656B90"/>
    <w:rsid w:val="00660A86"/>
    <w:rsid w:val="00661932"/>
    <w:rsid w:val="0066283B"/>
    <w:rsid w:val="00665F24"/>
    <w:rsid w:val="00666400"/>
    <w:rsid w:val="00666B36"/>
    <w:rsid w:val="00667330"/>
    <w:rsid w:val="006676A3"/>
    <w:rsid w:val="006703A5"/>
    <w:rsid w:val="0067121A"/>
    <w:rsid w:val="0067136B"/>
    <w:rsid w:val="0067339A"/>
    <w:rsid w:val="00674036"/>
    <w:rsid w:val="006741A1"/>
    <w:rsid w:val="006747C2"/>
    <w:rsid w:val="0067703C"/>
    <w:rsid w:val="00677046"/>
    <w:rsid w:val="00680610"/>
    <w:rsid w:val="0068072D"/>
    <w:rsid w:val="006826EE"/>
    <w:rsid w:val="006827BA"/>
    <w:rsid w:val="00683596"/>
    <w:rsid w:val="00683A8E"/>
    <w:rsid w:val="006844C1"/>
    <w:rsid w:val="006845D0"/>
    <w:rsid w:val="006849B2"/>
    <w:rsid w:val="00684DFB"/>
    <w:rsid w:val="006853C7"/>
    <w:rsid w:val="00685BB9"/>
    <w:rsid w:val="0068736C"/>
    <w:rsid w:val="0069004C"/>
    <w:rsid w:val="00691208"/>
    <w:rsid w:val="0069137A"/>
    <w:rsid w:val="006915A2"/>
    <w:rsid w:val="00692AF1"/>
    <w:rsid w:val="00693014"/>
    <w:rsid w:val="006932A7"/>
    <w:rsid w:val="006952C5"/>
    <w:rsid w:val="00696116"/>
    <w:rsid w:val="00696776"/>
    <w:rsid w:val="006A078C"/>
    <w:rsid w:val="006A0914"/>
    <w:rsid w:val="006A1A05"/>
    <w:rsid w:val="006A23C4"/>
    <w:rsid w:val="006A59C2"/>
    <w:rsid w:val="006A702E"/>
    <w:rsid w:val="006B0618"/>
    <w:rsid w:val="006B0C89"/>
    <w:rsid w:val="006B3A12"/>
    <w:rsid w:val="006B3CB1"/>
    <w:rsid w:val="006B45FD"/>
    <w:rsid w:val="006B497C"/>
    <w:rsid w:val="006B5B76"/>
    <w:rsid w:val="006B6923"/>
    <w:rsid w:val="006B7A90"/>
    <w:rsid w:val="006C096E"/>
    <w:rsid w:val="006C0EF2"/>
    <w:rsid w:val="006C332F"/>
    <w:rsid w:val="006C33CA"/>
    <w:rsid w:val="006C4F34"/>
    <w:rsid w:val="006C5287"/>
    <w:rsid w:val="006C577B"/>
    <w:rsid w:val="006C5888"/>
    <w:rsid w:val="006C5F38"/>
    <w:rsid w:val="006C605D"/>
    <w:rsid w:val="006C6558"/>
    <w:rsid w:val="006C7144"/>
    <w:rsid w:val="006D0D5D"/>
    <w:rsid w:val="006D1FA1"/>
    <w:rsid w:val="006D3479"/>
    <w:rsid w:val="006D4F13"/>
    <w:rsid w:val="006D712E"/>
    <w:rsid w:val="006D7530"/>
    <w:rsid w:val="006D7D5A"/>
    <w:rsid w:val="006E1D4F"/>
    <w:rsid w:val="006E2717"/>
    <w:rsid w:val="006E2898"/>
    <w:rsid w:val="006E3FFE"/>
    <w:rsid w:val="006E4305"/>
    <w:rsid w:val="006E4916"/>
    <w:rsid w:val="006E5A1D"/>
    <w:rsid w:val="006E6659"/>
    <w:rsid w:val="006E7099"/>
    <w:rsid w:val="006E7D96"/>
    <w:rsid w:val="006F0507"/>
    <w:rsid w:val="006F0B2E"/>
    <w:rsid w:val="006F1181"/>
    <w:rsid w:val="006F1256"/>
    <w:rsid w:val="006F1513"/>
    <w:rsid w:val="006F1C15"/>
    <w:rsid w:val="006F2700"/>
    <w:rsid w:val="006F2748"/>
    <w:rsid w:val="006F2BE6"/>
    <w:rsid w:val="006F3B1B"/>
    <w:rsid w:val="006F5763"/>
    <w:rsid w:val="006F5897"/>
    <w:rsid w:val="006F5D12"/>
    <w:rsid w:val="006F6FB8"/>
    <w:rsid w:val="006F72E7"/>
    <w:rsid w:val="0070150B"/>
    <w:rsid w:val="007015BD"/>
    <w:rsid w:val="00702F5C"/>
    <w:rsid w:val="00703494"/>
    <w:rsid w:val="0070432E"/>
    <w:rsid w:val="0070490B"/>
    <w:rsid w:val="00704BAB"/>
    <w:rsid w:val="00704DCB"/>
    <w:rsid w:val="007069A2"/>
    <w:rsid w:val="007104D1"/>
    <w:rsid w:val="00712903"/>
    <w:rsid w:val="00712B5B"/>
    <w:rsid w:val="00712F13"/>
    <w:rsid w:val="007135A6"/>
    <w:rsid w:val="0071410E"/>
    <w:rsid w:val="007151A7"/>
    <w:rsid w:val="00715E7B"/>
    <w:rsid w:val="00717B84"/>
    <w:rsid w:val="0072207C"/>
    <w:rsid w:val="0072670D"/>
    <w:rsid w:val="00727E55"/>
    <w:rsid w:val="007323B0"/>
    <w:rsid w:val="00732BC0"/>
    <w:rsid w:val="00732F32"/>
    <w:rsid w:val="00733A73"/>
    <w:rsid w:val="00734845"/>
    <w:rsid w:val="0073487C"/>
    <w:rsid w:val="0073637F"/>
    <w:rsid w:val="007369F3"/>
    <w:rsid w:val="00736B6C"/>
    <w:rsid w:val="00736E2E"/>
    <w:rsid w:val="00736FFC"/>
    <w:rsid w:val="00737459"/>
    <w:rsid w:val="00741E59"/>
    <w:rsid w:val="00742C5C"/>
    <w:rsid w:val="0074584B"/>
    <w:rsid w:val="00745CFF"/>
    <w:rsid w:val="00746F77"/>
    <w:rsid w:val="00746FF2"/>
    <w:rsid w:val="007533CD"/>
    <w:rsid w:val="00754CD2"/>
    <w:rsid w:val="007551B8"/>
    <w:rsid w:val="0075546A"/>
    <w:rsid w:val="00756954"/>
    <w:rsid w:val="00761133"/>
    <w:rsid w:val="0076144D"/>
    <w:rsid w:val="00762134"/>
    <w:rsid w:val="007636BA"/>
    <w:rsid w:val="00764E84"/>
    <w:rsid w:val="0077280D"/>
    <w:rsid w:val="0077328F"/>
    <w:rsid w:val="007742DB"/>
    <w:rsid w:val="0077469E"/>
    <w:rsid w:val="007754FD"/>
    <w:rsid w:val="00775C0B"/>
    <w:rsid w:val="007762F8"/>
    <w:rsid w:val="007800AF"/>
    <w:rsid w:val="00780AF7"/>
    <w:rsid w:val="007813AC"/>
    <w:rsid w:val="00781618"/>
    <w:rsid w:val="00781D8C"/>
    <w:rsid w:val="007821C2"/>
    <w:rsid w:val="00782446"/>
    <w:rsid w:val="00783520"/>
    <w:rsid w:val="0078380A"/>
    <w:rsid w:val="00783BF7"/>
    <w:rsid w:val="00785215"/>
    <w:rsid w:val="007855EA"/>
    <w:rsid w:val="0079151B"/>
    <w:rsid w:val="00791717"/>
    <w:rsid w:val="00793454"/>
    <w:rsid w:val="00793501"/>
    <w:rsid w:val="00794AA6"/>
    <w:rsid w:val="00795E0F"/>
    <w:rsid w:val="00797ED8"/>
    <w:rsid w:val="007A02D3"/>
    <w:rsid w:val="007A18B1"/>
    <w:rsid w:val="007A1CDE"/>
    <w:rsid w:val="007A1E38"/>
    <w:rsid w:val="007A2053"/>
    <w:rsid w:val="007A297E"/>
    <w:rsid w:val="007A39B2"/>
    <w:rsid w:val="007A3AF5"/>
    <w:rsid w:val="007A4032"/>
    <w:rsid w:val="007A5A72"/>
    <w:rsid w:val="007A6808"/>
    <w:rsid w:val="007A6BD2"/>
    <w:rsid w:val="007A759A"/>
    <w:rsid w:val="007A7F8B"/>
    <w:rsid w:val="007B03A3"/>
    <w:rsid w:val="007B084A"/>
    <w:rsid w:val="007B1A11"/>
    <w:rsid w:val="007B2A17"/>
    <w:rsid w:val="007B304F"/>
    <w:rsid w:val="007C0024"/>
    <w:rsid w:val="007C055A"/>
    <w:rsid w:val="007C1693"/>
    <w:rsid w:val="007C2A9C"/>
    <w:rsid w:val="007C349D"/>
    <w:rsid w:val="007C34EC"/>
    <w:rsid w:val="007C42CD"/>
    <w:rsid w:val="007C4306"/>
    <w:rsid w:val="007C48E3"/>
    <w:rsid w:val="007C553C"/>
    <w:rsid w:val="007C6188"/>
    <w:rsid w:val="007C66B6"/>
    <w:rsid w:val="007C6DBD"/>
    <w:rsid w:val="007C6E2C"/>
    <w:rsid w:val="007D01AA"/>
    <w:rsid w:val="007D0E84"/>
    <w:rsid w:val="007D2C54"/>
    <w:rsid w:val="007D303B"/>
    <w:rsid w:val="007D6362"/>
    <w:rsid w:val="007D681B"/>
    <w:rsid w:val="007D7D9E"/>
    <w:rsid w:val="007D7E56"/>
    <w:rsid w:val="007E181B"/>
    <w:rsid w:val="007E1D85"/>
    <w:rsid w:val="007E1EB5"/>
    <w:rsid w:val="007E3081"/>
    <w:rsid w:val="007E30B5"/>
    <w:rsid w:val="007E39A2"/>
    <w:rsid w:val="007E4605"/>
    <w:rsid w:val="007E702A"/>
    <w:rsid w:val="007F103D"/>
    <w:rsid w:val="007F139E"/>
    <w:rsid w:val="007F1A4A"/>
    <w:rsid w:val="007F1D3E"/>
    <w:rsid w:val="007F1F86"/>
    <w:rsid w:val="007F2379"/>
    <w:rsid w:val="007F24A7"/>
    <w:rsid w:val="007F3DE9"/>
    <w:rsid w:val="007F7912"/>
    <w:rsid w:val="008024B0"/>
    <w:rsid w:val="0080515F"/>
    <w:rsid w:val="00805234"/>
    <w:rsid w:val="00806CDA"/>
    <w:rsid w:val="008103DF"/>
    <w:rsid w:val="0081154A"/>
    <w:rsid w:val="0081227E"/>
    <w:rsid w:val="00813F70"/>
    <w:rsid w:val="0081591E"/>
    <w:rsid w:val="00816DCF"/>
    <w:rsid w:val="00820B36"/>
    <w:rsid w:val="00820DAE"/>
    <w:rsid w:val="00821286"/>
    <w:rsid w:val="008224AE"/>
    <w:rsid w:val="00822BE8"/>
    <w:rsid w:val="00823FB2"/>
    <w:rsid w:val="0082412A"/>
    <w:rsid w:val="0082731E"/>
    <w:rsid w:val="00827390"/>
    <w:rsid w:val="00827BB2"/>
    <w:rsid w:val="00827D5E"/>
    <w:rsid w:val="00831ACA"/>
    <w:rsid w:val="0083235C"/>
    <w:rsid w:val="008324AD"/>
    <w:rsid w:val="008329DA"/>
    <w:rsid w:val="008330E7"/>
    <w:rsid w:val="008353A4"/>
    <w:rsid w:val="00835840"/>
    <w:rsid w:val="008372C6"/>
    <w:rsid w:val="00840B17"/>
    <w:rsid w:val="00840C0B"/>
    <w:rsid w:val="0084183B"/>
    <w:rsid w:val="0084189F"/>
    <w:rsid w:val="00844CE8"/>
    <w:rsid w:val="008453D7"/>
    <w:rsid w:val="00847154"/>
    <w:rsid w:val="00847942"/>
    <w:rsid w:val="008511C7"/>
    <w:rsid w:val="008538A9"/>
    <w:rsid w:val="00854A94"/>
    <w:rsid w:val="00855D01"/>
    <w:rsid w:val="00855D94"/>
    <w:rsid w:val="00856F21"/>
    <w:rsid w:val="0085716E"/>
    <w:rsid w:val="00861879"/>
    <w:rsid w:val="00862845"/>
    <w:rsid w:val="00862852"/>
    <w:rsid w:val="00864C7A"/>
    <w:rsid w:val="0086657B"/>
    <w:rsid w:val="00866A17"/>
    <w:rsid w:val="00866D61"/>
    <w:rsid w:val="00871988"/>
    <w:rsid w:val="00872C34"/>
    <w:rsid w:val="00873DD8"/>
    <w:rsid w:val="00873E7F"/>
    <w:rsid w:val="00874199"/>
    <w:rsid w:val="00877D46"/>
    <w:rsid w:val="00881872"/>
    <w:rsid w:val="00881B81"/>
    <w:rsid w:val="008832E5"/>
    <w:rsid w:val="00883B9F"/>
    <w:rsid w:val="008862E3"/>
    <w:rsid w:val="0088739F"/>
    <w:rsid w:val="00890D28"/>
    <w:rsid w:val="008926AE"/>
    <w:rsid w:val="008926B5"/>
    <w:rsid w:val="008951DE"/>
    <w:rsid w:val="00895B65"/>
    <w:rsid w:val="0089711A"/>
    <w:rsid w:val="00897669"/>
    <w:rsid w:val="00897B67"/>
    <w:rsid w:val="008A3978"/>
    <w:rsid w:val="008A42B9"/>
    <w:rsid w:val="008A4E41"/>
    <w:rsid w:val="008A7951"/>
    <w:rsid w:val="008A7D55"/>
    <w:rsid w:val="008B1595"/>
    <w:rsid w:val="008B1829"/>
    <w:rsid w:val="008B1A96"/>
    <w:rsid w:val="008B1DDA"/>
    <w:rsid w:val="008B20A1"/>
    <w:rsid w:val="008B397A"/>
    <w:rsid w:val="008B4BE9"/>
    <w:rsid w:val="008B589C"/>
    <w:rsid w:val="008B5C23"/>
    <w:rsid w:val="008B6292"/>
    <w:rsid w:val="008B6945"/>
    <w:rsid w:val="008B6DDD"/>
    <w:rsid w:val="008B7307"/>
    <w:rsid w:val="008C0181"/>
    <w:rsid w:val="008C0581"/>
    <w:rsid w:val="008C0681"/>
    <w:rsid w:val="008C10E2"/>
    <w:rsid w:val="008C46F7"/>
    <w:rsid w:val="008C50CB"/>
    <w:rsid w:val="008C5B94"/>
    <w:rsid w:val="008C5F56"/>
    <w:rsid w:val="008C71EB"/>
    <w:rsid w:val="008C7A07"/>
    <w:rsid w:val="008D0EC1"/>
    <w:rsid w:val="008D1769"/>
    <w:rsid w:val="008D2118"/>
    <w:rsid w:val="008D2C82"/>
    <w:rsid w:val="008D2FD2"/>
    <w:rsid w:val="008D4451"/>
    <w:rsid w:val="008D50D7"/>
    <w:rsid w:val="008D5888"/>
    <w:rsid w:val="008D62B7"/>
    <w:rsid w:val="008D76BC"/>
    <w:rsid w:val="008E23FF"/>
    <w:rsid w:val="008E301A"/>
    <w:rsid w:val="008E6728"/>
    <w:rsid w:val="008E6803"/>
    <w:rsid w:val="008E6895"/>
    <w:rsid w:val="008E6CC9"/>
    <w:rsid w:val="008E7257"/>
    <w:rsid w:val="008E73C5"/>
    <w:rsid w:val="008E77D5"/>
    <w:rsid w:val="008E781F"/>
    <w:rsid w:val="008E7A4D"/>
    <w:rsid w:val="008E7ECC"/>
    <w:rsid w:val="008F06C4"/>
    <w:rsid w:val="008F0758"/>
    <w:rsid w:val="008F17E8"/>
    <w:rsid w:val="008F2313"/>
    <w:rsid w:val="008F2AB8"/>
    <w:rsid w:val="008F3990"/>
    <w:rsid w:val="008F410F"/>
    <w:rsid w:val="008F57CD"/>
    <w:rsid w:val="00900B3C"/>
    <w:rsid w:val="00901224"/>
    <w:rsid w:val="009026CD"/>
    <w:rsid w:val="00902BF6"/>
    <w:rsid w:val="009033F5"/>
    <w:rsid w:val="009035EE"/>
    <w:rsid w:val="009040C9"/>
    <w:rsid w:val="009041E7"/>
    <w:rsid w:val="00904FB5"/>
    <w:rsid w:val="00907DE7"/>
    <w:rsid w:val="00910811"/>
    <w:rsid w:val="00911031"/>
    <w:rsid w:val="0091136C"/>
    <w:rsid w:val="009115D1"/>
    <w:rsid w:val="00911F02"/>
    <w:rsid w:val="0091303D"/>
    <w:rsid w:val="009130C2"/>
    <w:rsid w:val="009143E4"/>
    <w:rsid w:val="009157ED"/>
    <w:rsid w:val="00916438"/>
    <w:rsid w:val="00916D10"/>
    <w:rsid w:val="009173B2"/>
    <w:rsid w:val="00917633"/>
    <w:rsid w:val="00922CF5"/>
    <w:rsid w:val="00925487"/>
    <w:rsid w:val="00925FCD"/>
    <w:rsid w:val="00930511"/>
    <w:rsid w:val="00930D7D"/>
    <w:rsid w:val="009316C3"/>
    <w:rsid w:val="00933A95"/>
    <w:rsid w:val="00935163"/>
    <w:rsid w:val="009357EB"/>
    <w:rsid w:val="00936426"/>
    <w:rsid w:val="009369ED"/>
    <w:rsid w:val="009406D4"/>
    <w:rsid w:val="00947D8C"/>
    <w:rsid w:val="00947E57"/>
    <w:rsid w:val="009500CB"/>
    <w:rsid w:val="0095047E"/>
    <w:rsid w:val="009511AE"/>
    <w:rsid w:val="00953482"/>
    <w:rsid w:val="00956101"/>
    <w:rsid w:val="0095654F"/>
    <w:rsid w:val="009574B7"/>
    <w:rsid w:val="00957C4A"/>
    <w:rsid w:val="00962156"/>
    <w:rsid w:val="009624D6"/>
    <w:rsid w:val="00962CD6"/>
    <w:rsid w:val="00963233"/>
    <w:rsid w:val="00963E5C"/>
    <w:rsid w:val="00963EAF"/>
    <w:rsid w:val="009642AE"/>
    <w:rsid w:val="00964755"/>
    <w:rsid w:val="00966C67"/>
    <w:rsid w:val="009718C7"/>
    <w:rsid w:val="00971A41"/>
    <w:rsid w:val="0097352B"/>
    <w:rsid w:val="009744C5"/>
    <w:rsid w:val="00975372"/>
    <w:rsid w:val="009770C3"/>
    <w:rsid w:val="009805AC"/>
    <w:rsid w:val="009825C8"/>
    <w:rsid w:val="0098359C"/>
    <w:rsid w:val="00983A6F"/>
    <w:rsid w:val="00983F75"/>
    <w:rsid w:val="00985853"/>
    <w:rsid w:val="00985F58"/>
    <w:rsid w:val="00986B18"/>
    <w:rsid w:val="00986B2B"/>
    <w:rsid w:val="00990FA4"/>
    <w:rsid w:val="00993A60"/>
    <w:rsid w:val="009967FA"/>
    <w:rsid w:val="00996F90"/>
    <w:rsid w:val="00997663"/>
    <w:rsid w:val="00997DD3"/>
    <w:rsid w:val="009A23B1"/>
    <w:rsid w:val="009A3CFA"/>
    <w:rsid w:val="009A3D4A"/>
    <w:rsid w:val="009A4E35"/>
    <w:rsid w:val="009A4FCB"/>
    <w:rsid w:val="009A5BA7"/>
    <w:rsid w:val="009A5D87"/>
    <w:rsid w:val="009A62ED"/>
    <w:rsid w:val="009A68DB"/>
    <w:rsid w:val="009A7935"/>
    <w:rsid w:val="009B014E"/>
    <w:rsid w:val="009B08EE"/>
    <w:rsid w:val="009B1864"/>
    <w:rsid w:val="009B28BE"/>
    <w:rsid w:val="009B2CDE"/>
    <w:rsid w:val="009B2E45"/>
    <w:rsid w:val="009B721C"/>
    <w:rsid w:val="009C1103"/>
    <w:rsid w:val="009C13AF"/>
    <w:rsid w:val="009C412F"/>
    <w:rsid w:val="009C433C"/>
    <w:rsid w:val="009C5AC6"/>
    <w:rsid w:val="009C5FCA"/>
    <w:rsid w:val="009C6083"/>
    <w:rsid w:val="009C6AB5"/>
    <w:rsid w:val="009C6D12"/>
    <w:rsid w:val="009C6F86"/>
    <w:rsid w:val="009C77B6"/>
    <w:rsid w:val="009D2131"/>
    <w:rsid w:val="009D2910"/>
    <w:rsid w:val="009D2B3C"/>
    <w:rsid w:val="009D312E"/>
    <w:rsid w:val="009D3600"/>
    <w:rsid w:val="009D3DCA"/>
    <w:rsid w:val="009D7053"/>
    <w:rsid w:val="009D71D5"/>
    <w:rsid w:val="009E00FE"/>
    <w:rsid w:val="009E2495"/>
    <w:rsid w:val="009E2887"/>
    <w:rsid w:val="009E2B19"/>
    <w:rsid w:val="009E2B73"/>
    <w:rsid w:val="009E3728"/>
    <w:rsid w:val="009E3C42"/>
    <w:rsid w:val="009E518C"/>
    <w:rsid w:val="009E5CB9"/>
    <w:rsid w:val="009E5E30"/>
    <w:rsid w:val="009E67BC"/>
    <w:rsid w:val="009E77C5"/>
    <w:rsid w:val="009F145D"/>
    <w:rsid w:val="009F1A0F"/>
    <w:rsid w:val="009F1D24"/>
    <w:rsid w:val="009F1D32"/>
    <w:rsid w:val="009F20E2"/>
    <w:rsid w:val="009F2113"/>
    <w:rsid w:val="009F30E5"/>
    <w:rsid w:val="009F31F2"/>
    <w:rsid w:val="009F3DCB"/>
    <w:rsid w:val="009F45A5"/>
    <w:rsid w:val="009F4E6A"/>
    <w:rsid w:val="009F7CEF"/>
    <w:rsid w:val="00A000A9"/>
    <w:rsid w:val="00A01C2E"/>
    <w:rsid w:val="00A024B0"/>
    <w:rsid w:val="00A02BB2"/>
    <w:rsid w:val="00A02F46"/>
    <w:rsid w:val="00A04052"/>
    <w:rsid w:val="00A05F20"/>
    <w:rsid w:val="00A06503"/>
    <w:rsid w:val="00A06E45"/>
    <w:rsid w:val="00A0786E"/>
    <w:rsid w:val="00A1030C"/>
    <w:rsid w:val="00A1030E"/>
    <w:rsid w:val="00A12563"/>
    <w:rsid w:val="00A134DB"/>
    <w:rsid w:val="00A13678"/>
    <w:rsid w:val="00A145AD"/>
    <w:rsid w:val="00A15365"/>
    <w:rsid w:val="00A15A66"/>
    <w:rsid w:val="00A20251"/>
    <w:rsid w:val="00A22114"/>
    <w:rsid w:val="00A22B8C"/>
    <w:rsid w:val="00A236B4"/>
    <w:rsid w:val="00A26483"/>
    <w:rsid w:val="00A27AF8"/>
    <w:rsid w:val="00A30DAF"/>
    <w:rsid w:val="00A32218"/>
    <w:rsid w:val="00A33630"/>
    <w:rsid w:val="00A34105"/>
    <w:rsid w:val="00A3487A"/>
    <w:rsid w:val="00A369B4"/>
    <w:rsid w:val="00A36C26"/>
    <w:rsid w:val="00A37242"/>
    <w:rsid w:val="00A37F10"/>
    <w:rsid w:val="00A41BB2"/>
    <w:rsid w:val="00A4312A"/>
    <w:rsid w:val="00A451C3"/>
    <w:rsid w:val="00A46FB7"/>
    <w:rsid w:val="00A52363"/>
    <w:rsid w:val="00A524D3"/>
    <w:rsid w:val="00A55383"/>
    <w:rsid w:val="00A5583B"/>
    <w:rsid w:val="00A61055"/>
    <w:rsid w:val="00A61150"/>
    <w:rsid w:val="00A62030"/>
    <w:rsid w:val="00A62616"/>
    <w:rsid w:val="00A64583"/>
    <w:rsid w:val="00A647C7"/>
    <w:rsid w:val="00A65845"/>
    <w:rsid w:val="00A662AA"/>
    <w:rsid w:val="00A662E6"/>
    <w:rsid w:val="00A672BB"/>
    <w:rsid w:val="00A6758B"/>
    <w:rsid w:val="00A67B12"/>
    <w:rsid w:val="00A70B44"/>
    <w:rsid w:val="00A72637"/>
    <w:rsid w:val="00A739C2"/>
    <w:rsid w:val="00A73F2B"/>
    <w:rsid w:val="00A76578"/>
    <w:rsid w:val="00A76935"/>
    <w:rsid w:val="00A81388"/>
    <w:rsid w:val="00A8185B"/>
    <w:rsid w:val="00A81A4A"/>
    <w:rsid w:val="00A81D80"/>
    <w:rsid w:val="00A82926"/>
    <w:rsid w:val="00A83C4F"/>
    <w:rsid w:val="00A84646"/>
    <w:rsid w:val="00A86E47"/>
    <w:rsid w:val="00A924E6"/>
    <w:rsid w:val="00A92556"/>
    <w:rsid w:val="00A940A0"/>
    <w:rsid w:val="00A95007"/>
    <w:rsid w:val="00A95CE8"/>
    <w:rsid w:val="00A9628B"/>
    <w:rsid w:val="00A96411"/>
    <w:rsid w:val="00A965CB"/>
    <w:rsid w:val="00A970B4"/>
    <w:rsid w:val="00AA050F"/>
    <w:rsid w:val="00AA0950"/>
    <w:rsid w:val="00AA212F"/>
    <w:rsid w:val="00AA3E37"/>
    <w:rsid w:val="00AA4237"/>
    <w:rsid w:val="00AA5E2F"/>
    <w:rsid w:val="00AA66ED"/>
    <w:rsid w:val="00AA6E74"/>
    <w:rsid w:val="00AA7317"/>
    <w:rsid w:val="00AB0A9C"/>
    <w:rsid w:val="00AB249A"/>
    <w:rsid w:val="00AB4BEC"/>
    <w:rsid w:val="00AB4C70"/>
    <w:rsid w:val="00AB50DD"/>
    <w:rsid w:val="00AB599A"/>
    <w:rsid w:val="00AC0E10"/>
    <w:rsid w:val="00AC1249"/>
    <w:rsid w:val="00AC19FC"/>
    <w:rsid w:val="00AC1CBA"/>
    <w:rsid w:val="00AC2008"/>
    <w:rsid w:val="00AC2848"/>
    <w:rsid w:val="00AC2C0B"/>
    <w:rsid w:val="00AC4858"/>
    <w:rsid w:val="00AC4905"/>
    <w:rsid w:val="00AC4B8C"/>
    <w:rsid w:val="00AD00BB"/>
    <w:rsid w:val="00AD11BD"/>
    <w:rsid w:val="00AD1330"/>
    <w:rsid w:val="00AD3763"/>
    <w:rsid w:val="00AD3D0B"/>
    <w:rsid w:val="00AD5BA7"/>
    <w:rsid w:val="00AD64E4"/>
    <w:rsid w:val="00AD76C5"/>
    <w:rsid w:val="00AE179E"/>
    <w:rsid w:val="00AE26FB"/>
    <w:rsid w:val="00AE3C53"/>
    <w:rsid w:val="00AE5A7C"/>
    <w:rsid w:val="00AE7382"/>
    <w:rsid w:val="00AE7922"/>
    <w:rsid w:val="00AE7B64"/>
    <w:rsid w:val="00AE7CEF"/>
    <w:rsid w:val="00AF052A"/>
    <w:rsid w:val="00AF28BE"/>
    <w:rsid w:val="00AF4481"/>
    <w:rsid w:val="00AF5CB6"/>
    <w:rsid w:val="00AF78AA"/>
    <w:rsid w:val="00AF7B0D"/>
    <w:rsid w:val="00AF7CC1"/>
    <w:rsid w:val="00B00873"/>
    <w:rsid w:val="00B0089C"/>
    <w:rsid w:val="00B01011"/>
    <w:rsid w:val="00B03333"/>
    <w:rsid w:val="00B0519D"/>
    <w:rsid w:val="00B05A4A"/>
    <w:rsid w:val="00B05FA2"/>
    <w:rsid w:val="00B07769"/>
    <w:rsid w:val="00B07A78"/>
    <w:rsid w:val="00B10043"/>
    <w:rsid w:val="00B10843"/>
    <w:rsid w:val="00B11878"/>
    <w:rsid w:val="00B11CB4"/>
    <w:rsid w:val="00B1255C"/>
    <w:rsid w:val="00B12D2A"/>
    <w:rsid w:val="00B16786"/>
    <w:rsid w:val="00B17076"/>
    <w:rsid w:val="00B20029"/>
    <w:rsid w:val="00B209B7"/>
    <w:rsid w:val="00B21F58"/>
    <w:rsid w:val="00B23A63"/>
    <w:rsid w:val="00B24181"/>
    <w:rsid w:val="00B269A3"/>
    <w:rsid w:val="00B2748F"/>
    <w:rsid w:val="00B31038"/>
    <w:rsid w:val="00B3163D"/>
    <w:rsid w:val="00B316E4"/>
    <w:rsid w:val="00B32340"/>
    <w:rsid w:val="00B32625"/>
    <w:rsid w:val="00B32D34"/>
    <w:rsid w:val="00B33D80"/>
    <w:rsid w:val="00B345F5"/>
    <w:rsid w:val="00B34FEB"/>
    <w:rsid w:val="00B36672"/>
    <w:rsid w:val="00B40FA8"/>
    <w:rsid w:val="00B419E9"/>
    <w:rsid w:val="00B43B79"/>
    <w:rsid w:val="00B45317"/>
    <w:rsid w:val="00B46F30"/>
    <w:rsid w:val="00B4704E"/>
    <w:rsid w:val="00B47279"/>
    <w:rsid w:val="00B475C3"/>
    <w:rsid w:val="00B50DE3"/>
    <w:rsid w:val="00B51789"/>
    <w:rsid w:val="00B51F77"/>
    <w:rsid w:val="00B5223B"/>
    <w:rsid w:val="00B53092"/>
    <w:rsid w:val="00B54E99"/>
    <w:rsid w:val="00B5656B"/>
    <w:rsid w:val="00B60516"/>
    <w:rsid w:val="00B608C1"/>
    <w:rsid w:val="00B609B0"/>
    <w:rsid w:val="00B60D3D"/>
    <w:rsid w:val="00B611C8"/>
    <w:rsid w:val="00B61520"/>
    <w:rsid w:val="00B61575"/>
    <w:rsid w:val="00B61D95"/>
    <w:rsid w:val="00B622E8"/>
    <w:rsid w:val="00B627B0"/>
    <w:rsid w:val="00B64A63"/>
    <w:rsid w:val="00B67628"/>
    <w:rsid w:val="00B70478"/>
    <w:rsid w:val="00B71D25"/>
    <w:rsid w:val="00B72215"/>
    <w:rsid w:val="00B72884"/>
    <w:rsid w:val="00B72FB6"/>
    <w:rsid w:val="00B74098"/>
    <w:rsid w:val="00B74BA6"/>
    <w:rsid w:val="00B76134"/>
    <w:rsid w:val="00B76F19"/>
    <w:rsid w:val="00B8067D"/>
    <w:rsid w:val="00B82428"/>
    <w:rsid w:val="00B841FE"/>
    <w:rsid w:val="00B8426A"/>
    <w:rsid w:val="00B8487C"/>
    <w:rsid w:val="00B85A29"/>
    <w:rsid w:val="00B85D74"/>
    <w:rsid w:val="00B867C8"/>
    <w:rsid w:val="00B906CF"/>
    <w:rsid w:val="00B9187F"/>
    <w:rsid w:val="00B91AC2"/>
    <w:rsid w:val="00B925E2"/>
    <w:rsid w:val="00B93013"/>
    <w:rsid w:val="00B93623"/>
    <w:rsid w:val="00B95718"/>
    <w:rsid w:val="00B95901"/>
    <w:rsid w:val="00B96C6A"/>
    <w:rsid w:val="00B9736F"/>
    <w:rsid w:val="00B97A49"/>
    <w:rsid w:val="00BA04B9"/>
    <w:rsid w:val="00BA2520"/>
    <w:rsid w:val="00BA5797"/>
    <w:rsid w:val="00BA5FC7"/>
    <w:rsid w:val="00BB0875"/>
    <w:rsid w:val="00BB08A8"/>
    <w:rsid w:val="00BB0C3C"/>
    <w:rsid w:val="00BB2BBB"/>
    <w:rsid w:val="00BB302A"/>
    <w:rsid w:val="00BB3050"/>
    <w:rsid w:val="00BB7831"/>
    <w:rsid w:val="00BC0B5D"/>
    <w:rsid w:val="00BC1B65"/>
    <w:rsid w:val="00BC3030"/>
    <w:rsid w:val="00BC311C"/>
    <w:rsid w:val="00BC31BC"/>
    <w:rsid w:val="00BC3C8C"/>
    <w:rsid w:val="00BC6167"/>
    <w:rsid w:val="00BC618A"/>
    <w:rsid w:val="00BC6482"/>
    <w:rsid w:val="00BD00EC"/>
    <w:rsid w:val="00BD1068"/>
    <w:rsid w:val="00BD141B"/>
    <w:rsid w:val="00BD170F"/>
    <w:rsid w:val="00BD2247"/>
    <w:rsid w:val="00BD288B"/>
    <w:rsid w:val="00BD3AC8"/>
    <w:rsid w:val="00BD6040"/>
    <w:rsid w:val="00BD640E"/>
    <w:rsid w:val="00BD6F27"/>
    <w:rsid w:val="00BE09F7"/>
    <w:rsid w:val="00BE238B"/>
    <w:rsid w:val="00BE4435"/>
    <w:rsid w:val="00BE6B71"/>
    <w:rsid w:val="00BE6E28"/>
    <w:rsid w:val="00BF0A29"/>
    <w:rsid w:val="00BF190C"/>
    <w:rsid w:val="00BF3AFC"/>
    <w:rsid w:val="00BF4455"/>
    <w:rsid w:val="00BF494B"/>
    <w:rsid w:val="00BF4D21"/>
    <w:rsid w:val="00BF5CC1"/>
    <w:rsid w:val="00C00BBC"/>
    <w:rsid w:val="00C01F9C"/>
    <w:rsid w:val="00C0257B"/>
    <w:rsid w:val="00C03338"/>
    <w:rsid w:val="00C043D0"/>
    <w:rsid w:val="00C058CA"/>
    <w:rsid w:val="00C07BB3"/>
    <w:rsid w:val="00C111DC"/>
    <w:rsid w:val="00C121AC"/>
    <w:rsid w:val="00C136AA"/>
    <w:rsid w:val="00C13961"/>
    <w:rsid w:val="00C1640B"/>
    <w:rsid w:val="00C1776D"/>
    <w:rsid w:val="00C2000E"/>
    <w:rsid w:val="00C21051"/>
    <w:rsid w:val="00C2143A"/>
    <w:rsid w:val="00C2249C"/>
    <w:rsid w:val="00C23966"/>
    <w:rsid w:val="00C23B31"/>
    <w:rsid w:val="00C24CE4"/>
    <w:rsid w:val="00C253B7"/>
    <w:rsid w:val="00C256A5"/>
    <w:rsid w:val="00C262EB"/>
    <w:rsid w:val="00C2702A"/>
    <w:rsid w:val="00C2743A"/>
    <w:rsid w:val="00C2764D"/>
    <w:rsid w:val="00C30391"/>
    <w:rsid w:val="00C30C5B"/>
    <w:rsid w:val="00C3106E"/>
    <w:rsid w:val="00C31DC9"/>
    <w:rsid w:val="00C32043"/>
    <w:rsid w:val="00C32C20"/>
    <w:rsid w:val="00C341BD"/>
    <w:rsid w:val="00C34E21"/>
    <w:rsid w:val="00C36F4E"/>
    <w:rsid w:val="00C3753E"/>
    <w:rsid w:val="00C379C9"/>
    <w:rsid w:val="00C402AC"/>
    <w:rsid w:val="00C40B36"/>
    <w:rsid w:val="00C40C94"/>
    <w:rsid w:val="00C42038"/>
    <w:rsid w:val="00C422B8"/>
    <w:rsid w:val="00C42934"/>
    <w:rsid w:val="00C42A1D"/>
    <w:rsid w:val="00C440D6"/>
    <w:rsid w:val="00C4488B"/>
    <w:rsid w:val="00C44FCA"/>
    <w:rsid w:val="00C45CBB"/>
    <w:rsid w:val="00C4709F"/>
    <w:rsid w:val="00C47D2D"/>
    <w:rsid w:val="00C5006B"/>
    <w:rsid w:val="00C52776"/>
    <w:rsid w:val="00C5299C"/>
    <w:rsid w:val="00C535B1"/>
    <w:rsid w:val="00C550FA"/>
    <w:rsid w:val="00C5543C"/>
    <w:rsid w:val="00C5567A"/>
    <w:rsid w:val="00C5582D"/>
    <w:rsid w:val="00C566D6"/>
    <w:rsid w:val="00C56FD3"/>
    <w:rsid w:val="00C61924"/>
    <w:rsid w:val="00C638CB"/>
    <w:rsid w:val="00C64E58"/>
    <w:rsid w:val="00C666BB"/>
    <w:rsid w:val="00C669AA"/>
    <w:rsid w:val="00C70FFB"/>
    <w:rsid w:val="00C74587"/>
    <w:rsid w:val="00C74B2E"/>
    <w:rsid w:val="00C74BA1"/>
    <w:rsid w:val="00C74D77"/>
    <w:rsid w:val="00C758B1"/>
    <w:rsid w:val="00C765F3"/>
    <w:rsid w:val="00C76962"/>
    <w:rsid w:val="00C8024A"/>
    <w:rsid w:val="00C806F1"/>
    <w:rsid w:val="00C80B5D"/>
    <w:rsid w:val="00C839ED"/>
    <w:rsid w:val="00C83FA1"/>
    <w:rsid w:val="00C84299"/>
    <w:rsid w:val="00C87362"/>
    <w:rsid w:val="00C87622"/>
    <w:rsid w:val="00C87BAF"/>
    <w:rsid w:val="00C90104"/>
    <w:rsid w:val="00C902E9"/>
    <w:rsid w:val="00C90B8E"/>
    <w:rsid w:val="00C91F92"/>
    <w:rsid w:val="00C92F14"/>
    <w:rsid w:val="00C92F6F"/>
    <w:rsid w:val="00C9300D"/>
    <w:rsid w:val="00C9308C"/>
    <w:rsid w:val="00C940FE"/>
    <w:rsid w:val="00C95916"/>
    <w:rsid w:val="00C9669A"/>
    <w:rsid w:val="00C97365"/>
    <w:rsid w:val="00CA2737"/>
    <w:rsid w:val="00CA3398"/>
    <w:rsid w:val="00CA660F"/>
    <w:rsid w:val="00CB07D6"/>
    <w:rsid w:val="00CB0DCF"/>
    <w:rsid w:val="00CB12D6"/>
    <w:rsid w:val="00CB221D"/>
    <w:rsid w:val="00CB2BBB"/>
    <w:rsid w:val="00CB46B7"/>
    <w:rsid w:val="00CB6980"/>
    <w:rsid w:val="00CC02BA"/>
    <w:rsid w:val="00CC08BA"/>
    <w:rsid w:val="00CC0E53"/>
    <w:rsid w:val="00CC276A"/>
    <w:rsid w:val="00CC330A"/>
    <w:rsid w:val="00CC3998"/>
    <w:rsid w:val="00CC4FAF"/>
    <w:rsid w:val="00CC5727"/>
    <w:rsid w:val="00CC614D"/>
    <w:rsid w:val="00CC67C4"/>
    <w:rsid w:val="00CC6F29"/>
    <w:rsid w:val="00CC7756"/>
    <w:rsid w:val="00CC7C5E"/>
    <w:rsid w:val="00CC7DBD"/>
    <w:rsid w:val="00CD032F"/>
    <w:rsid w:val="00CD209C"/>
    <w:rsid w:val="00CD277C"/>
    <w:rsid w:val="00CD3E3C"/>
    <w:rsid w:val="00CD43C4"/>
    <w:rsid w:val="00CD60CD"/>
    <w:rsid w:val="00CD6908"/>
    <w:rsid w:val="00CE2BF7"/>
    <w:rsid w:val="00CE2CCD"/>
    <w:rsid w:val="00CE318B"/>
    <w:rsid w:val="00CE376B"/>
    <w:rsid w:val="00CE3BA4"/>
    <w:rsid w:val="00CE66EF"/>
    <w:rsid w:val="00CE7741"/>
    <w:rsid w:val="00CF00EE"/>
    <w:rsid w:val="00CF02D1"/>
    <w:rsid w:val="00CF030A"/>
    <w:rsid w:val="00CF1388"/>
    <w:rsid w:val="00CF1B1B"/>
    <w:rsid w:val="00CF299E"/>
    <w:rsid w:val="00CF351C"/>
    <w:rsid w:val="00CF3849"/>
    <w:rsid w:val="00CF41EA"/>
    <w:rsid w:val="00CF480F"/>
    <w:rsid w:val="00CF516A"/>
    <w:rsid w:val="00CF52D1"/>
    <w:rsid w:val="00CF6870"/>
    <w:rsid w:val="00CF6C2E"/>
    <w:rsid w:val="00CF7CA8"/>
    <w:rsid w:val="00CF7F83"/>
    <w:rsid w:val="00D01CE1"/>
    <w:rsid w:val="00D02027"/>
    <w:rsid w:val="00D0233C"/>
    <w:rsid w:val="00D02726"/>
    <w:rsid w:val="00D03EBF"/>
    <w:rsid w:val="00D044DD"/>
    <w:rsid w:val="00D049FA"/>
    <w:rsid w:val="00D04BDC"/>
    <w:rsid w:val="00D05173"/>
    <w:rsid w:val="00D05734"/>
    <w:rsid w:val="00D066FC"/>
    <w:rsid w:val="00D11462"/>
    <w:rsid w:val="00D134FF"/>
    <w:rsid w:val="00D136D9"/>
    <w:rsid w:val="00D14D61"/>
    <w:rsid w:val="00D15746"/>
    <w:rsid w:val="00D16A6E"/>
    <w:rsid w:val="00D16A77"/>
    <w:rsid w:val="00D17319"/>
    <w:rsid w:val="00D17C61"/>
    <w:rsid w:val="00D22A47"/>
    <w:rsid w:val="00D275FC"/>
    <w:rsid w:val="00D278D0"/>
    <w:rsid w:val="00D30694"/>
    <w:rsid w:val="00D306FA"/>
    <w:rsid w:val="00D30E53"/>
    <w:rsid w:val="00D322CD"/>
    <w:rsid w:val="00D32F4D"/>
    <w:rsid w:val="00D3576E"/>
    <w:rsid w:val="00D36549"/>
    <w:rsid w:val="00D36E22"/>
    <w:rsid w:val="00D371DF"/>
    <w:rsid w:val="00D37829"/>
    <w:rsid w:val="00D3787A"/>
    <w:rsid w:val="00D37C5E"/>
    <w:rsid w:val="00D40068"/>
    <w:rsid w:val="00D41F39"/>
    <w:rsid w:val="00D42D2E"/>
    <w:rsid w:val="00D42F9F"/>
    <w:rsid w:val="00D43297"/>
    <w:rsid w:val="00D44B25"/>
    <w:rsid w:val="00D46800"/>
    <w:rsid w:val="00D469A3"/>
    <w:rsid w:val="00D46B0B"/>
    <w:rsid w:val="00D4719A"/>
    <w:rsid w:val="00D47932"/>
    <w:rsid w:val="00D5014E"/>
    <w:rsid w:val="00D50A8F"/>
    <w:rsid w:val="00D51A51"/>
    <w:rsid w:val="00D51B29"/>
    <w:rsid w:val="00D51B38"/>
    <w:rsid w:val="00D525D0"/>
    <w:rsid w:val="00D55C17"/>
    <w:rsid w:val="00D55ED8"/>
    <w:rsid w:val="00D57458"/>
    <w:rsid w:val="00D604E9"/>
    <w:rsid w:val="00D60595"/>
    <w:rsid w:val="00D60B66"/>
    <w:rsid w:val="00D615ED"/>
    <w:rsid w:val="00D63B92"/>
    <w:rsid w:val="00D64E79"/>
    <w:rsid w:val="00D66770"/>
    <w:rsid w:val="00D66E03"/>
    <w:rsid w:val="00D66E96"/>
    <w:rsid w:val="00D70D58"/>
    <w:rsid w:val="00D70DB6"/>
    <w:rsid w:val="00D722F9"/>
    <w:rsid w:val="00D76048"/>
    <w:rsid w:val="00D76172"/>
    <w:rsid w:val="00D76269"/>
    <w:rsid w:val="00D76CC4"/>
    <w:rsid w:val="00D77694"/>
    <w:rsid w:val="00D77F26"/>
    <w:rsid w:val="00D805FB"/>
    <w:rsid w:val="00D80EF4"/>
    <w:rsid w:val="00D8229C"/>
    <w:rsid w:val="00D825BB"/>
    <w:rsid w:val="00D828C8"/>
    <w:rsid w:val="00D8304E"/>
    <w:rsid w:val="00D8401A"/>
    <w:rsid w:val="00D8485E"/>
    <w:rsid w:val="00D86C18"/>
    <w:rsid w:val="00D87BE3"/>
    <w:rsid w:val="00D90D96"/>
    <w:rsid w:val="00D922DC"/>
    <w:rsid w:val="00D923F4"/>
    <w:rsid w:val="00D930E6"/>
    <w:rsid w:val="00D9385A"/>
    <w:rsid w:val="00D93C80"/>
    <w:rsid w:val="00D93F2B"/>
    <w:rsid w:val="00D9503B"/>
    <w:rsid w:val="00D954B8"/>
    <w:rsid w:val="00D956A1"/>
    <w:rsid w:val="00D96A8F"/>
    <w:rsid w:val="00DA16B4"/>
    <w:rsid w:val="00DA17BF"/>
    <w:rsid w:val="00DA2CF5"/>
    <w:rsid w:val="00DA3CE4"/>
    <w:rsid w:val="00DA3D97"/>
    <w:rsid w:val="00DA53EE"/>
    <w:rsid w:val="00DA5774"/>
    <w:rsid w:val="00DA5FAC"/>
    <w:rsid w:val="00DB0295"/>
    <w:rsid w:val="00DB040A"/>
    <w:rsid w:val="00DB1DA2"/>
    <w:rsid w:val="00DB289D"/>
    <w:rsid w:val="00DB31B4"/>
    <w:rsid w:val="00DB3518"/>
    <w:rsid w:val="00DB3CD8"/>
    <w:rsid w:val="00DB406A"/>
    <w:rsid w:val="00DB5648"/>
    <w:rsid w:val="00DC0FD1"/>
    <w:rsid w:val="00DC1B5D"/>
    <w:rsid w:val="00DC3767"/>
    <w:rsid w:val="00DD022B"/>
    <w:rsid w:val="00DD06B0"/>
    <w:rsid w:val="00DD1109"/>
    <w:rsid w:val="00DD1C3E"/>
    <w:rsid w:val="00DD1FDA"/>
    <w:rsid w:val="00DD2EB3"/>
    <w:rsid w:val="00DD2EB6"/>
    <w:rsid w:val="00DD313C"/>
    <w:rsid w:val="00DD6360"/>
    <w:rsid w:val="00DD7F24"/>
    <w:rsid w:val="00DD7F29"/>
    <w:rsid w:val="00DE4257"/>
    <w:rsid w:val="00DE4C58"/>
    <w:rsid w:val="00DE4CA4"/>
    <w:rsid w:val="00DE4F51"/>
    <w:rsid w:val="00DE502A"/>
    <w:rsid w:val="00DE5811"/>
    <w:rsid w:val="00DE7F67"/>
    <w:rsid w:val="00DF10E9"/>
    <w:rsid w:val="00DF11A7"/>
    <w:rsid w:val="00DF1F6F"/>
    <w:rsid w:val="00DF26B9"/>
    <w:rsid w:val="00DF2ECE"/>
    <w:rsid w:val="00DF30E7"/>
    <w:rsid w:val="00DF48F1"/>
    <w:rsid w:val="00DF491E"/>
    <w:rsid w:val="00DF6A4A"/>
    <w:rsid w:val="00DF7E2F"/>
    <w:rsid w:val="00E017A9"/>
    <w:rsid w:val="00E025B5"/>
    <w:rsid w:val="00E02A20"/>
    <w:rsid w:val="00E03AE9"/>
    <w:rsid w:val="00E07E49"/>
    <w:rsid w:val="00E10AE7"/>
    <w:rsid w:val="00E11351"/>
    <w:rsid w:val="00E11660"/>
    <w:rsid w:val="00E1277B"/>
    <w:rsid w:val="00E14656"/>
    <w:rsid w:val="00E20A8B"/>
    <w:rsid w:val="00E20C55"/>
    <w:rsid w:val="00E20EA4"/>
    <w:rsid w:val="00E2128E"/>
    <w:rsid w:val="00E21417"/>
    <w:rsid w:val="00E21F11"/>
    <w:rsid w:val="00E23119"/>
    <w:rsid w:val="00E245FE"/>
    <w:rsid w:val="00E271CB"/>
    <w:rsid w:val="00E310A8"/>
    <w:rsid w:val="00E31308"/>
    <w:rsid w:val="00E329C7"/>
    <w:rsid w:val="00E32AAD"/>
    <w:rsid w:val="00E3332A"/>
    <w:rsid w:val="00E336A7"/>
    <w:rsid w:val="00E34308"/>
    <w:rsid w:val="00E34887"/>
    <w:rsid w:val="00E34898"/>
    <w:rsid w:val="00E34FE3"/>
    <w:rsid w:val="00E40092"/>
    <w:rsid w:val="00E4229F"/>
    <w:rsid w:val="00E42CDE"/>
    <w:rsid w:val="00E4483D"/>
    <w:rsid w:val="00E44E42"/>
    <w:rsid w:val="00E44FFA"/>
    <w:rsid w:val="00E4580D"/>
    <w:rsid w:val="00E46C69"/>
    <w:rsid w:val="00E50D02"/>
    <w:rsid w:val="00E53522"/>
    <w:rsid w:val="00E539AA"/>
    <w:rsid w:val="00E55D6C"/>
    <w:rsid w:val="00E55FAB"/>
    <w:rsid w:val="00E57396"/>
    <w:rsid w:val="00E57760"/>
    <w:rsid w:val="00E608EE"/>
    <w:rsid w:val="00E60D4D"/>
    <w:rsid w:val="00E619B8"/>
    <w:rsid w:val="00E638EB"/>
    <w:rsid w:val="00E63AC5"/>
    <w:rsid w:val="00E65CA5"/>
    <w:rsid w:val="00E672D6"/>
    <w:rsid w:val="00E70192"/>
    <w:rsid w:val="00E7161F"/>
    <w:rsid w:val="00E7285A"/>
    <w:rsid w:val="00E728F6"/>
    <w:rsid w:val="00E7329B"/>
    <w:rsid w:val="00E745EB"/>
    <w:rsid w:val="00E75278"/>
    <w:rsid w:val="00E7535C"/>
    <w:rsid w:val="00E7693D"/>
    <w:rsid w:val="00E7777B"/>
    <w:rsid w:val="00E77CB3"/>
    <w:rsid w:val="00E80C8C"/>
    <w:rsid w:val="00E81A1B"/>
    <w:rsid w:val="00E81A86"/>
    <w:rsid w:val="00E81B66"/>
    <w:rsid w:val="00E8607B"/>
    <w:rsid w:val="00E90ABD"/>
    <w:rsid w:val="00E90D52"/>
    <w:rsid w:val="00E90E51"/>
    <w:rsid w:val="00E91073"/>
    <w:rsid w:val="00E93583"/>
    <w:rsid w:val="00E93AA2"/>
    <w:rsid w:val="00E9436E"/>
    <w:rsid w:val="00E94778"/>
    <w:rsid w:val="00E96698"/>
    <w:rsid w:val="00EA00AA"/>
    <w:rsid w:val="00EA031F"/>
    <w:rsid w:val="00EA2F86"/>
    <w:rsid w:val="00EA452E"/>
    <w:rsid w:val="00EA452F"/>
    <w:rsid w:val="00EA45BF"/>
    <w:rsid w:val="00EA4E17"/>
    <w:rsid w:val="00EA6D39"/>
    <w:rsid w:val="00EA7C80"/>
    <w:rsid w:val="00EA7DC0"/>
    <w:rsid w:val="00EB063D"/>
    <w:rsid w:val="00EB067B"/>
    <w:rsid w:val="00EB13C3"/>
    <w:rsid w:val="00EB1626"/>
    <w:rsid w:val="00EB1B68"/>
    <w:rsid w:val="00EB1D97"/>
    <w:rsid w:val="00EB258A"/>
    <w:rsid w:val="00EB5839"/>
    <w:rsid w:val="00EB69CE"/>
    <w:rsid w:val="00EB7E50"/>
    <w:rsid w:val="00EC0AC9"/>
    <w:rsid w:val="00EC3F57"/>
    <w:rsid w:val="00EC4F20"/>
    <w:rsid w:val="00ED05A4"/>
    <w:rsid w:val="00ED05C1"/>
    <w:rsid w:val="00ED191E"/>
    <w:rsid w:val="00ED2B5F"/>
    <w:rsid w:val="00ED3973"/>
    <w:rsid w:val="00ED4496"/>
    <w:rsid w:val="00ED4679"/>
    <w:rsid w:val="00ED5491"/>
    <w:rsid w:val="00ED54C2"/>
    <w:rsid w:val="00ED5D02"/>
    <w:rsid w:val="00EE0561"/>
    <w:rsid w:val="00EE40ED"/>
    <w:rsid w:val="00EE42AE"/>
    <w:rsid w:val="00EE4FFC"/>
    <w:rsid w:val="00EE50CF"/>
    <w:rsid w:val="00EE5755"/>
    <w:rsid w:val="00EE69B9"/>
    <w:rsid w:val="00EE728A"/>
    <w:rsid w:val="00EF12FC"/>
    <w:rsid w:val="00EF193F"/>
    <w:rsid w:val="00EF1DFB"/>
    <w:rsid w:val="00EF2094"/>
    <w:rsid w:val="00EF20AE"/>
    <w:rsid w:val="00EF38B0"/>
    <w:rsid w:val="00EF3DFA"/>
    <w:rsid w:val="00EF467B"/>
    <w:rsid w:val="00EF4C53"/>
    <w:rsid w:val="00EF4E73"/>
    <w:rsid w:val="00EF507A"/>
    <w:rsid w:val="00F000CB"/>
    <w:rsid w:val="00F006F1"/>
    <w:rsid w:val="00F0142C"/>
    <w:rsid w:val="00F015EA"/>
    <w:rsid w:val="00F01BD4"/>
    <w:rsid w:val="00F02AD4"/>
    <w:rsid w:val="00F02D0A"/>
    <w:rsid w:val="00F043F8"/>
    <w:rsid w:val="00F04E3A"/>
    <w:rsid w:val="00F05362"/>
    <w:rsid w:val="00F056B9"/>
    <w:rsid w:val="00F06D85"/>
    <w:rsid w:val="00F07B7B"/>
    <w:rsid w:val="00F1003B"/>
    <w:rsid w:val="00F10794"/>
    <w:rsid w:val="00F114E9"/>
    <w:rsid w:val="00F14EE8"/>
    <w:rsid w:val="00F159E6"/>
    <w:rsid w:val="00F2005D"/>
    <w:rsid w:val="00F21389"/>
    <w:rsid w:val="00F21F51"/>
    <w:rsid w:val="00F21F64"/>
    <w:rsid w:val="00F22853"/>
    <w:rsid w:val="00F22AF1"/>
    <w:rsid w:val="00F23A1D"/>
    <w:rsid w:val="00F23B95"/>
    <w:rsid w:val="00F25077"/>
    <w:rsid w:val="00F26977"/>
    <w:rsid w:val="00F30E53"/>
    <w:rsid w:val="00F31F01"/>
    <w:rsid w:val="00F3323A"/>
    <w:rsid w:val="00F33C73"/>
    <w:rsid w:val="00F400CE"/>
    <w:rsid w:val="00F40388"/>
    <w:rsid w:val="00F4184B"/>
    <w:rsid w:val="00F4225F"/>
    <w:rsid w:val="00F42A50"/>
    <w:rsid w:val="00F45452"/>
    <w:rsid w:val="00F47327"/>
    <w:rsid w:val="00F4778A"/>
    <w:rsid w:val="00F5207C"/>
    <w:rsid w:val="00F52133"/>
    <w:rsid w:val="00F53E63"/>
    <w:rsid w:val="00F56769"/>
    <w:rsid w:val="00F56B66"/>
    <w:rsid w:val="00F57859"/>
    <w:rsid w:val="00F622B9"/>
    <w:rsid w:val="00F63389"/>
    <w:rsid w:val="00F63615"/>
    <w:rsid w:val="00F64023"/>
    <w:rsid w:val="00F6448D"/>
    <w:rsid w:val="00F650FC"/>
    <w:rsid w:val="00F65699"/>
    <w:rsid w:val="00F6595F"/>
    <w:rsid w:val="00F661CC"/>
    <w:rsid w:val="00F66CDD"/>
    <w:rsid w:val="00F7024C"/>
    <w:rsid w:val="00F7098A"/>
    <w:rsid w:val="00F71C83"/>
    <w:rsid w:val="00F72D0F"/>
    <w:rsid w:val="00F73323"/>
    <w:rsid w:val="00F753BA"/>
    <w:rsid w:val="00F75566"/>
    <w:rsid w:val="00F7639B"/>
    <w:rsid w:val="00F7677F"/>
    <w:rsid w:val="00F774DF"/>
    <w:rsid w:val="00F80883"/>
    <w:rsid w:val="00F83409"/>
    <w:rsid w:val="00F83F64"/>
    <w:rsid w:val="00F84037"/>
    <w:rsid w:val="00F8439A"/>
    <w:rsid w:val="00F84B3F"/>
    <w:rsid w:val="00F858AA"/>
    <w:rsid w:val="00F85F3A"/>
    <w:rsid w:val="00F86C63"/>
    <w:rsid w:val="00F8747E"/>
    <w:rsid w:val="00F91977"/>
    <w:rsid w:val="00F91A70"/>
    <w:rsid w:val="00F94B56"/>
    <w:rsid w:val="00F96B14"/>
    <w:rsid w:val="00F96B57"/>
    <w:rsid w:val="00F96F32"/>
    <w:rsid w:val="00F97B57"/>
    <w:rsid w:val="00FA21A4"/>
    <w:rsid w:val="00FA36A7"/>
    <w:rsid w:val="00FA4F7C"/>
    <w:rsid w:val="00FA60CE"/>
    <w:rsid w:val="00FA7BA3"/>
    <w:rsid w:val="00FB0456"/>
    <w:rsid w:val="00FB2355"/>
    <w:rsid w:val="00FB257F"/>
    <w:rsid w:val="00FB2C69"/>
    <w:rsid w:val="00FB2CCC"/>
    <w:rsid w:val="00FB2E0A"/>
    <w:rsid w:val="00FB38B0"/>
    <w:rsid w:val="00FB47F4"/>
    <w:rsid w:val="00FB583C"/>
    <w:rsid w:val="00FC0756"/>
    <w:rsid w:val="00FC13A2"/>
    <w:rsid w:val="00FC188D"/>
    <w:rsid w:val="00FC1C23"/>
    <w:rsid w:val="00FC2BDE"/>
    <w:rsid w:val="00FC34C0"/>
    <w:rsid w:val="00FC354E"/>
    <w:rsid w:val="00FC3A44"/>
    <w:rsid w:val="00FC56A1"/>
    <w:rsid w:val="00FC5C57"/>
    <w:rsid w:val="00FC6427"/>
    <w:rsid w:val="00FC70F6"/>
    <w:rsid w:val="00FD1460"/>
    <w:rsid w:val="00FD1D89"/>
    <w:rsid w:val="00FD2B12"/>
    <w:rsid w:val="00FD2B9F"/>
    <w:rsid w:val="00FD64F8"/>
    <w:rsid w:val="00FD6530"/>
    <w:rsid w:val="00FD6F4E"/>
    <w:rsid w:val="00FD787F"/>
    <w:rsid w:val="00FE2922"/>
    <w:rsid w:val="00FE29CA"/>
    <w:rsid w:val="00FE3A3F"/>
    <w:rsid w:val="00FE3B77"/>
    <w:rsid w:val="00FE40F0"/>
    <w:rsid w:val="00FE459E"/>
    <w:rsid w:val="00FE566D"/>
    <w:rsid w:val="00FE6238"/>
    <w:rsid w:val="00FF0371"/>
    <w:rsid w:val="00FF0976"/>
    <w:rsid w:val="00FF0CEF"/>
    <w:rsid w:val="00FF18D6"/>
    <w:rsid w:val="00FF2881"/>
    <w:rsid w:val="00FF2F3A"/>
    <w:rsid w:val="00FF40B7"/>
    <w:rsid w:val="00FF52E4"/>
    <w:rsid w:val="00FF65DA"/>
    <w:rsid w:val="00FF6F99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A05C8"/>
  <w15:docId w15:val="{9FBF1A13-92BD-4709-B07A-9AF789EC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7C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x-none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C0AC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/>
      <w:sz w:val="20"/>
      <w:szCs w:val="20"/>
      <w:lang w:val="x-none" w:eastAsia="x-none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uiPriority w:val="99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F8747E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F8747E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B867C8"/>
    <w:rPr>
      <w:rFonts w:ascii="Calibri Light" w:eastAsia="Times New Roman" w:hAnsi="Calibri Light" w:cs="Times New Roman"/>
      <w:b/>
      <w:bCs/>
      <w:i/>
      <w:iCs/>
      <w:sz w:val="28"/>
      <w:szCs w:val="28"/>
      <w:lang w:val="ru-RU"/>
    </w:rPr>
  </w:style>
  <w:style w:type="character" w:customStyle="1" w:styleId="40">
    <w:name w:val="Заголовок 4 Знак"/>
    <w:link w:val="4"/>
    <w:uiPriority w:val="9"/>
    <w:rsid w:val="00EC0AC9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first1">
    <w:name w:val="first1"/>
    <w:rsid w:val="00EC0AC9"/>
  </w:style>
  <w:style w:type="table" w:customStyle="1" w:styleId="14">
    <w:name w:val="Светлый список1"/>
    <w:basedOn w:val="a1"/>
    <w:uiPriority w:val="61"/>
    <w:rsid w:val="00CB46B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A0914"/>
    <w:pPr>
      <w:spacing w:after="200" w:line="276" w:lineRule="auto"/>
    </w:pPr>
    <w:rPr>
      <w:b/>
      <w:bCs/>
      <w:lang w:val="ru-RU"/>
    </w:rPr>
  </w:style>
  <w:style w:type="character" w:customStyle="1" w:styleId="afb">
    <w:name w:val="Тема примечания Знак"/>
    <w:link w:val="afa"/>
    <w:uiPriority w:val="99"/>
    <w:semiHidden/>
    <w:rsid w:val="006A0914"/>
    <w:rPr>
      <w:rFonts w:ascii="Times New Roman" w:eastAsia="Times New Roman" w:hAnsi="Times New Roman" w:cs="Arial Unicode MS"/>
      <w:b/>
      <w:bCs/>
      <w:lang w:val="ru-RU" w:eastAsia="hu-HU" w:bidi="ml-IN"/>
    </w:rPr>
  </w:style>
  <w:style w:type="character" w:customStyle="1" w:styleId="15">
    <w:name w:val="Неразрешенное упоминание1"/>
    <w:uiPriority w:val="99"/>
    <w:semiHidden/>
    <w:unhideWhenUsed/>
    <w:rsid w:val="00204CD6"/>
    <w:rPr>
      <w:color w:val="605E5C"/>
      <w:shd w:val="clear" w:color="auto" w:fill="E1DFDD"/>
    </w:rPr>
  </w:style>
  <w:style w:type="character" w:customStyle="1" w:styleId="25">
    <w:name w:val="Неразрешенное упоминание2"/>
    <w:uiPriority w:val="99"/>
    <w:semiHidden/>
    <w:unhideWhenUsed/>
    <w:rsid w:val="00FF65DA"/>
    <w:rPr>
      <w:color w:val="605E5C"/>
      <w:shd w:val="clear" w:color="auto" w:fill="E1DFDD"/>
    </w:rPr>
  </w:style>
  <w:style w:type="table" w:styleId="afc">
    <w:name w:val="Table Grid"/>
    <w:basedOn w:val="a1"/>
    <w:uiPriority w:val="59"/>
    <w:rsid w:val="0047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"/>
    <w:rsid w:val="00AD0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gtcbodytext">
    <w:name w:val="gtcbodytext"/>
    <w:basedOn w:val="a"/>
    <w:rsid w:val="00E025B5"/>
    <w:pPr>
      <w:spacing w:before="240" w:after="240" w:line="30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kphk@kphk.k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phk@kphk.k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da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dinfo@kphk.kz" TargetMode="Externa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mailto:kphk@kphk.k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C0B0F-32EE-4EF0-BA62-44D94973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29</Pages>
  <Words>9510</Words>
  <Characters>54210</Characters>
  <Application>Microsoft Office Word</Application>
  <DocSecurity>0</DocSecurity>
  <Lines>451</Lines>
  <Paragraphs>127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Назва</vt:lpstr>
      </vt:variant>
      <vt:variant>
        <vt:i4>1</vt:i4>
      </vt:variant>
    </vt:vector>
  </HeadingPairs>
  <TitlesOfParts>
    <vt:vector size="10" baseType="lpstr">
      <vt:lpstr>ИМП (ЛВ)</vt:lpstr>
      <vt:lpstr/>
      <vt:lpstr/>
      <vt:lpstr>Показания к применению</vt:lpstr>
      <vt:lpstr>РеФакто® АФ содержит действующее вещество мороктоког альфа, рекомбинантный факто</vt:lpstr>
      <vt:lpstr>        Восстановление и введение </vt:lpstr>
      <vt:lpstr>        Аллергические реакции</vt:lpstr>
      <vt:lpstr>        </vt:lpstr>
      <vt:lpstr>        Образование ингибитора</vt:lpstr>
      <vt:lpstr/>
    </vt:vector>
  </TitlesOfParts>
  <Company>SPecialiST RePack</Company>
  <LinksUpToDate>false</LinksUpToDate>
  <CharactersWithSpaces>63593</CharactersWithSpaces>
  <SharedDoc>false</SharedDoc>
  <HLinks>
    <vt:vector size="30" baseType="variant">
      <vt:variant>
        <vt:i4>3997712</vt:i4>
      </vt:variant>
      <vt:variant>
        <vt:i4>12</vt:i4>
      </vt:variant>
      <vt:variant>
        <vt:i4>0</vt:i4>
      </vt:variant>
      <vt:variant>
        <vt:i4>5</vt:i4>
      </vt:variant>
      <vt:variant>
        <vt:lpwstr>mailto:medinfo@kphk.kz</vt:lpwstr>
      </vt:variant>
      <vt:variant>
        <vt:lpwstr/>
      </vt:variant>
      <vt:variant>
        <vt:i4>5308540</vt:i4>
      </vt:variant>
      <vt:variant>
        <vt:i4>9</vt:i4>
      </vt:variant>
      <vt:variant>
        <vt:i4>0</vt:i4>
      </vt:variant>
      <vt:variant>
        <vt:i4>5</vt:i4>
      </vt:variant>
      <vt:variant>
        <vt:lpwstr>mailto:kphk@kphk.kz</vt:lpwstr>
      </vt:variant>
      <vt:variant>
        <vt:lpwstr/>
      </vt:variant>
      <vt:variant>
        <vt:i4>5308540</vt:i4>
      </vt:variant>
      <vt:variant>
        <vt:i4>6</vt:i4>
      </vt:variant>
      <vt:variant>
        <vt:i4>0</vt:i4>
      </vt:variant>
      <vt:variant>
        <vt:i4>5</vt:i4>
      </vt:variant>
      <vt:variant>
        <vt:lpwstr>mailto:kphk@kphk.kz</vt:lpwstr>
      </vt:variant>
      <vt:variant>
        <vt:lpwstr/>
      </vt:variant>
      <vt:variant>
        <vt:i4>5308540</vt:i4>
      </vt:variant>
      <vt:variant>
        <vt:i4>3</vt:i4>
      </vt:variant>
      <vt:variant>
        <vt:i4>0</vt:i4>
      </vt:variant>
      <vt:variant>
        <vt:i4>5</vt:i4>
      </vt:variant>
      <vt:variant>
        <vt:lpwstr>mailto:kphk@kphk.kz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ИМП (ЛВ)</dc:title>
  <dc:creator>ОФО</dc:creator>
  <cp:keywords>Октоклотин; мороктоког альфа</cp:keywords>
  <cp:lastModifiedBy>Полторак Наталья</cp:lastModifiedBy>
  <cp:revision>3</cp:revision>
  <cp:lastPrinted>2021-09-16T04:18:00Z</cp:lastPrinted>
  <dcterms:created xsi:type="dcterms:W3CDTF">2021-09-29T13:20:00Z</dcterms:created>
  <dcterms:modified xsi:type="dcterms:W3CDTF">2021-10-11T10:03:00Z</dcterms:modified>
</cp:coreProperties>
</file>